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лютого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132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before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технічну документацію із землеустрою по встановленню (відновленню) меж земельних ділянок, виділити в натурі (на місцевості) земельні частки (паї) на підставі сертифікатів на право на земельну частку (пай) для ведення товарного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Синявка: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Іванов Іван Іванович</w:t>
        <w:tab/>
        <w:t xml:space="preserve">5,3867 га</w:t>
        <w:tab/>
        <w:t xml:space="preserve">7423088000:02:000:0156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Іванов Іван Іванович</w:t>
        <w:tab/>
        <w:t xml:space="preserve">0,7168 га</w:t>
        <w:tab/>
        <w:t xml:space="preserve">7423088000:02:000:0382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Лозовий Сергій Григорович</w:t>
        <w:tab/>
        <w:t xml:space="preserve">4,4306 га</w:t>
        <w:tab/>
        <w:t xml:space="preserve">7423088000:02:000:0155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Лозовий Сергій Григорович</w:t>
        <w:tab/>
        <w:t xml:space="preserve">0,7140 га</w:t>
        <w:tab/>
        <w:t xml:space="preserve">7423088000:02:000:0899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Пєскова Оксана Євгеніївна</w:t>
        <w:tab/>
        <w:t xml:space="preserve">0,7663 га</w:t>
        <w:tab/>
        <w:t xml:space="preserve">7423088000:02:000:0500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Семенівка: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Богдан Світлана Григорівна</w:t>
        <w:tab/>
        <w:t xml:space="preserve">1,8884 га</w:t>
        <w:tab/>
        <w:t xml:space="preserve">7423087600:04:000:0582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Богдан Світлана Григорівна</w:t>
        <w:tab/>
        <w:t xml:space="preserve">0,9493 га</w:t>
        <w:tab/>
        <w:t xml:space="preserve">7423087600:06:000:0352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Богдан Світлана Григорівна</w:t>
        <w:tab/>
        <w:t xml:space="preserve">0,2502 га</w:t>
        <w:tab/>
        <w:t xml:space="preserve">7423087600:07:000:0520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м. Мена: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Лобан Микола Васильович</w:t>
        <w:tab/>
        <w:t xml:space="preserve">3,4962 га</w:t>
        <w:tab/>
        <w:t xml:space="preserve">7423010100:03:000:0189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Лобан Микола Васильович</w:t>
        <w:tab/>
        <w:t xml:space="preserve">0,4802 га</w:t>
        <w:tab/>
        <w:t xml:space="preserve">7423010100:03:000:0946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Куковичі: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Лобан Микола Васильович</w:t>
        <w:tab/>
        <w:t xml:space="preserve">0,4149 га</w:t>
        <w:tab/>
        <w:t xml:space="preserve">7423085000:08:000:0778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Корявко Катерина Віталіївна</w:t>
        <w:tab/>
        <w:t xml:space="preserve">0,4990 га</w:t>
        <w:tab/>
        <w:t xml:space="preserve">7423085000:08:000:0779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Корявко Катерина Віталіївна</w:t>
        <w:tab/>
        <w:t xml:space="preserve">2,4758 га</w:t>
        <w:tab/>
        <w:t xml:space="preserve">7423085000:05:000:0427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Ушня: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Молочко Віталій Миколайович</w:t>
        <w:tab/>
        <w:t xml:space="preserve">1,1068 га</w:t>
        <w:tab/>
        <w:t xml:space="preserve">7423089000:03:000:0481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Волосківці: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Молочко Віталій Миколайович</w:t>
        <w:tab/>
        <w:t xml:space="preserve">0,6790 га</w:t>
        <w:tab/>
        <w:t xml:space="preserve">7423082000:07:000:0056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ення набирає чинності окремо по кожному пункту з дня вручення особисто заявникам витягів з даного рішення окремо по кожному пункту.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2025-02-20T18:14:21Z</dcterms:modified>
</cp:coreProperties>
</file>