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 w:left="5669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Додаток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Bdr/>
        <w:spacing w:after="0" w:afterAutospacing="0" w:line="240" w:lineRule="auto"/>
        <w:ind w:left="566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рішення 57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сесії Менської міської ради 8 скликання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4253"/>
          <w:tab w:val="left" w:leader="none" w:pos="4395"/>
        </w:tabs>
        <w:spacing w:after="0" w:afterAutospacing="0" w:line="240" w:lineRule="auto"/>
        <w:ind w:right="1" w:left="566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24 січня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року № 11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4253"/>
          <w:tab w:val="left" w:leader="none" w:pos="4395"/>
        </w:tabs>
        <w:spacing w:after="0" w:afterAutospacing="0" w:line="240" w:lineRule="auto"/>
        <w:ind w:right="1" w:left="5669"/>
        <w:jc w:val="both"/>
        <w:rPr/>
      </w:pPr>
      <w:r/>
      <w:bookmarkStart w:id="0" w:name="_GoBack"/>
      <w:r/>
      <w:bookmarkEnd w:id="0"/>
      <w:r/>
      <w:r/>
    </w:p>
    <w:tbl>
      <w:tblPr>
        <w:tblStyle w:val="773"/>
        <w:tblW w:w="9860" w:type="dxa"/>
        <w:tblInd w:w="-80" w:type="dxa"/>
        <w:tblBorders/>
        <w:tblLayout w:type="fixed"/>
        <w:tblLook w:val="04A0" w:firstRow="1" w:lastRow="0" w:firstColumn="1" w:lastColumn="0" w:noHBand="0" w:noVBand="1"/>
      </w:tblPr>
      <w:tblGrid>
        <w:gridCol w:w="4930"/>
        <w:gridCol w:w="4930"/>
      </w:tblGrid>
      <w:tr>
        <w:trPr>
          <w:trHeight w:val="995"/>
        </w:trPr>
        <w:tc>
          <w:tcPr>
            <w:tcBorders/>
            <w:tcW w:w="4930" w:type="dxa"/>
            <w:textDirection w:val="lrTb"/>
            <w:noWrap w:val="false"/>
          </w:tcPr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ПОГОДЖЕНО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Заступник голови робочої групи з формування завдання на розроблення Комплексного плану просторового розвитку території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i/>
              </w:rPr>
            </w:r>
            <w:r>
              <w:rPr>
                <w:rFonts w:ascii="Times New Roman" w:hAnsi="Times New Roman" w:eastAsia="Times New Roman" w:cs="Times New Roman"/>
                <w:i/>
              </w:rPr>
            </w:r>
          </w:p>
        </w:tc>
        <w:tc>
          <w:tcPr>
            <w:tcBorders/>
            <w:tcW w:w="4930" w:type="dxa"/>
            <w:textDirection w:val="lrTb"/>
            <w:noWrap w:val="false"/>
          </w:tcPr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ЗАТВЕРДЖЕНО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Рішення 57 сесії Менської міської ради 8 скликання від 24 січня 2025 року №11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Секретар ради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  <w:tr>
        <w:trPr>
          <w:trHeight w:val="274"/>
        </w:trPr>
        <w:tc>
          <w:tcPr>
            <w:tcBorders/>
            <w:tcW w:w="4930" w:type="dxa"/>
            <w:textDirection w:val="lrTb"/>
            <w:noWrap w:val="false"/>
          </w:tcPr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 Сергій ГАЄВОЙ</w:t>
            </w:r>
            <w:r>
              <w:rPr>
                <w:rFonts w:ascii="Times New Roman" w:hAnsi="Times New Roman" w:eastAsia="Times New Roman" w:cs="Times New Roman"/>
                <w:i/>
              </w:rPr>
            </w:r>
            <w:r>
              <w:rPr>
                <w:rFonts w:ascii="Times New Roman" w:hAnsi="Times New Roman" w:eastAsia="Times New Roman" w:cs="Times New Roman"/>
                <w:i/>
              </w:rPr>
            </w:r>
          </w:p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(підпис)</w:t>
            </w:r>
            <w:r>
              <w:rPr>
                <w:rFonts w:ascii="Times New Roman" w:hAnsi="Times New Roman" w:eastAsia="Times New Roman" w:cs="Times New Roman"/>
                <w:i/>
              </w:rPr>
            </w:r>
            <w:r>
              <w:rPr>
                <w:rFonts w:ascii="Times New Roman" w:hAnsi="Times New Roman" w:eastAsia="Times New Roman" w:cs="Times New Roman"/>
                <w:i/>
              </w:rPr>
            </w:r>
          </w:p>
        </w:tc>
        <w:tc>
          <w:tcPr>
            <w:tcBorders/>
            <w:tcW w:w="4930" w:type="dxa"/>
            <w:textDirection w:val="lrTb"/>
            <w:noWrap w:val="false"/>
          </w:tcPr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__________________ Юрій СТАЛЬНИЧЕНКО</w:t>
            </w:r>
            <w:r>
              <w:rPr>
                <w:rFonts w:ascii="Times New Roman" w:hAnsi="Times New Roman" w:eastAsia="Times New Roman" w:cs="Times New Roman"/>
                <w:i/>
              </w:rPr>
            </w:r>
            <w:r>
              <w:rPr>
                <w:rFonts w:ascii="Times New Roman" w:hAnsi="Times New Roman" w:eastAsia="Times New Roman" w:cs="Times New Roman"/>
                <w:i/>
              </w:rPr>
            </w:r>
          </w:p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/>
              </w:rPr>
              <w:t xml:space="preserve">(підпис)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902"/>
        </w:trPr>
        <w:tc>
          <w:tcPr>
            <w:tcBorders/>
            <w:tcW w:w="4930" w:type="dxa"/>
            <w:textDirection w:val="lrTb"/>
            <w:noWrap w:val="false"/>
          </w:tcPr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«_______» ___________________ 20___ р.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930" w:type="dxa"/>
            <w:textDirection w:val="lrTb"/>
            <w:noWrap w:val="false"/>
          </w:tcPr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«_______» ___________________ 20___ р.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693"/>
        </w:trPr>
        <w:tc>
          <w:tcPr>
            <w:tcBorders/>
            <w:tcW w:w="4930" w:type="dxa"/>
            <w:textDirection w:val="lrTb"/>
            <w:noWrap w:val="false"/>
          </w:tcPr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930" w:type="dxa"/>
            <w:textDirection w:val="lrTb"/>
            <w:noWrap w:val="false"/>
          </w:tcPr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ПОГОДЖЕНО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Відділу архітектури та містобудування Менської міської ради</w:t>
            </w:r>
            <w:r>
              <w:rPr>
                <w:rFonts w:ascii="Times New Roman" w:hAnsi="Times New Roman" w:eastAsia="Times New Roman" w:cs="Times New Roman"/>
                <w:i/>
              </w:rPr>
            </w:r>
            <w:r>
              <w:rPr>
                <w:rFonts w:ascii="Times New Roman" w:hAnsi="Times New Roman" w:eastAsia="Times New Roman" w:cs="Times New Roman"/>
                <w:i/>
              </w:rPr>
            </w:r>
          </w:p>
        </w:tc>
      </w:tr>
      <w:tr>
        <w:trPr>
          <w:trHeight w:val="380"/>
        </w:trPr>
        <w:tc>
          <w:tcPr>
            <w:tcBorders/>
            <w:tcW w:w="4930" w:type="dxa"/>
            <w:textDirection w:val="lrTb"/>
            <w:noWrap w:val="false"/>
          </w:tcPr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930" w:type="dxa"/>
            <w:textDirection w:val="lrTb"/>
            <w:noWrap w:val="false"/>
          </w:tcPr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 Андрій ЮЩЕНКО</w:t>
            </w:r>
            <w:r>
              <w:rPr>
                <w:rFonts w:ascii="Times New Roman" w:hAnsi="Times New Roman" w:eastAsia="Times New Roman" w:cs="Times New Roman"/>
                <w:i/>
              </w:rPr>
            </w:r>
            <w:r>
              <w:rPr>
                <w:rFonts w:ascii="Times New Roman" w:hAnsi="Times New Roman" w:eastAsia="Times New Roman" w:cs="Times New Roman"/>
                <w:i/>
              </w:rPr>
            </w:r>
          </w:p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/>
              </w:rPr>
              <w:t xml:space="preserve">(підпис)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7"/>
        </w:trPr>
        <w:tc>
          <w:tcPr>
            <w:tcBorders/>
            <w:tcW w:w="4930" w:type="dxa"/>
            <w:textDirection w:val="lrTb"/>
            <w:noWrap w:val="false"/>
          </w:tcPr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930" w:type="dxa"/>
            <w:textDirection w:val="lrTb"/>
            <w:noWrap w:val="false"/>
          </w:tcPr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«_______» ___________________ 20___ р.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uppressLineNumbers w:val="false"/>
              <w:pBdr/>
              <w:spacing w:after="6" w:afterAutospacing="0" w:before="0" w:beforeAutospacing="0" w:line="240" w:lineRule="auto"/>
              <w:ind w:right="170" w:lef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Bdr/>
        <w:spacing w:after="0" w:afterAutospacing="0" w:line="240" w:lineRule="auto"/>
        <w:ind/>
        <w:rPr/>
      </w:pPr>
      <w:r/>
      <w:r/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ЗАВДАННЯ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 розроблення комплексного плану просторового розвитку території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Менської міської територіальної громади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tbl>
      <w:tblPr>
        <w:tblStyle w:val="781"/>
        <w:tblW w:w="9888" w:type="dxa"/>
        <w:tblBorders/>
        <w:tblLayout w:type="fixed"/>
        <w:tblLook w:val="04A0" w:firstRow="1" w:lastRow="0" w:firstColumn="1" w:lastColumn="0" w:noHBand="0" w:noVBand="1"/>
      </w:tblPr>
      <w:tblGrid>
        <w:gridCol w:w="562"/>
        <w:gridCol w:w="3656"/>
        <w:gridCol w:w="5669"/>
      </w:tblGrid>
      <w:tr>
        <w:trPr>
          <w:trHeight w:val="391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Розділи завдання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Зміст розділів завдання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680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Вид документації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Комплексний план просторового розвитку території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Підстава для розроблення Комплексного плану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Рішення 49 сесії 8 скликання Менської міської ради № 330 від 26.06.2024 «Про розроблення Комплексного плану просторового розвитку території Менської міської територіальної громади» (додається).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28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Замовник Комплексного плану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Менська міська рада, код ЄДРПОУ 04061777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52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Назва території розроблення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містобудівної документації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Менська міська територіальна громада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Корюківський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район Чернігівська область код КАТОТТГ UA74020030000069340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660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Площа на яку має бути розроблена містобудівна документація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102610 га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598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Строк розроблення Комплексного  плану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Згідно з календарним планом та укладеним договором.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Роки реалізації: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короткострокового періоду: до 5 років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середньострокового періоду: 6-10 років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довгострокової перспективи: понад 10 років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Перелік наявних вихідних даних для розроблення Комплексного плану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Відомості про об’єкти: Державно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го земельного кадастру, нерухомого майна, лісового фонду, Смарагдової мережі, водного фонду та водно-болотні угіддя, всесвітньої та культурної спадщини, виробничого та невиробничого комплексу, соціальної сфери, цивільного захисту, інженерної та дорожньо-т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ранспортної інфраструктури, природної і техногенної небезпеки, визначені Генеральною схемою планування території, Державною стратегією регіонального розвитку, Стратегією сталого розвитку України, обмеження у використанні земель; природно-заповідного фонду.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Відомості про: речові права на нерухоме майно, мінерально-сировинні ресурси, населення,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br/>
              <w:t xml:space="preserve">природно-кліматичні умови, стан навколишнього природного середовища, ризик виникнення надзвичайних ситуацій, стратегічні та оперативні цілі, визначені регіональною стратегією розвитку, пр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огнози та програми економічного і соціального розвитку, стратегії, програми та плани у сфері охорони навколишнього середовища, плани управління річковими басейнами, матеріали громадського обговорення з формування завдання на розроблення комплексного плану.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</w:pPr>
            <w:r/>
            <w:bookmarkStart w:id="1" w:name="_heading=h.gjdgxs"/>
            <w:r/>
            <w:bookmarkEnd w:id="1"/>
            <w:r/>
            <w:sdt>
              <w:sdtPr>
                <w15:appearance w15:val="boundingBox"/>
                <w:id w:val="-1135248705"/>
                <w:showingPlcHdr w:val="true"/>
                <w:tag w:val="goog_rdk_0"/>
                <w:rPr/>
              </w:sdtPr>
              <w:sdtContent>
                <w:r>
                  <w:rPr>
                    <w:rFonts w:ascii="Times New Roman" w:hAnsi="Times New Roman" w:eastAsia="Times New Roman" w:cs="Times New Roman"/>
                    <w:color w:val="auto"/>
                    <w:sz w:val="24"/>
                    <w:szCs w:val="24"/>
                  </w:rPr>
                  <w:t xml:space="preserve">     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Відомості про розроблену та затверджену містобудівну документацію регіонального та місцевого рівня та землевпорядну документацію.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Відомості про картографічну основу у цифровому форматі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Топографо-геодезична зйомка в М1:2000 міста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(2013р), формат *.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dmf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топографо-геодезична зйомка в М1:2000 с-ще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Макошине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(2019), формат 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dwg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топографо-геодезична зйомка в М1:2000 села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Блистова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(2016), формат 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dwg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топографо-геодезична зйомка в М1:2000 села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Величківка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(2021), формат 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dmf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топографо-геодезична зйомка в М1:2000 села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Волосківці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(2021), формат 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dmf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топографо-геодезична зйомка в М1:2000 села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Данилівка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(2017), формат 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dwg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топографо-геодезична зйомка в М1:2000 села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Дерепівка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(2016), формат 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dwg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топографо-геодезична зйомка в М1:2000 села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Дягова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(2021), формат 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dwg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топографо-геодезична зйомка в М1:2000 села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Киселівка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(2021), формат 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dmf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топографо-геодезична зйомка в М1:2000 села Ліски (2021), формат 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dmf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топографо-геодезична зйомка в М1:2000 села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Максаки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(2020), формат 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dwg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топографо-геодезична зйомка в М1:2000 села Осьмаки (2021), формат 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dmf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топографо-геодезична зйомка в М1:2000 села Покровське (2015), формат 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dwg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топографо-геодезична зйомка в М1:2000 села Стольне (2019), формат 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dwg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топографо-геодезична зйомка в М1:2000 села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Феськівка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(2021), формат 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dmf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Матеріали громадських обговорень з формування завдання на розроблення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проєкту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містобудівної документації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Протокол стратегічної сесії громадських обговорень з формування завдання на розроблення Комплексного плану просторового розвитку території Менської міської територіальної громади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Корюківського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району Чернігівської області від 21.11.2024 року.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</w:tr>
      <w:tr>
        <w:trPr>
          <w:trHeight w:val="680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Містобудівна документація, що має бути розроблена у складі Комплексного плану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до Генерального плану міста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Перелік населених пунктів, щодо яких передбачається розроблення планувальних рішень генеральних планів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селище Макошине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Бірківка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Блистова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Величківка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Волосківці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Городище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Данилівка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Дягова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Загорівка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Киселівка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Куковичі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Ліски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Максаки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Нові Броди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Остапівка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Осьмаки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Покровське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селище Прогрес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Садове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Семенівка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Синявка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Слобідка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Степанівка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Стольне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Ушня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село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Феськівка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42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sdt>
              <w:sdtPr>
                <w15:appearance w15:val="boundingBox"/>
                <w:id w:val="304361747"/>
                <w:showingPlcHdr w:val="true"/>
                <w:tag w:val="goog_rdk_1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Перелік планувальних рішень детальних планів територій, на яких передбачається розміщення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передбачається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Перелік проектних рішень, які необхідно передбачити під час розроблення містобудівної документації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firstLine="0" w:lef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У рамках розроблення Комплексного плану мають бути визначені оптимальні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шляхи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реалізації на території Менської міської територіальної громади пропозицій з просторового розвитку, підготовлених Робочою групою з формування завдання на розроблення Комплексного плану та висловлених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громадськістю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, у тому числі у ході Стратегічної сесії, на основі виконання фахового аналізу усіх наданих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пропозицій з огляду на чинні норми законодавства, державні будівельні норми і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санітарні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правила, а також існуючі умови території громади, зокрема фактичну структуру землекористування, природні та інженерні умови, вплив на стан довкілля і природні ресурси.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Проєктні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рішення Комплексного плану мають забезпечити: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numPr>
                <w:ilvl w:val="0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формування сприятливих умов для розвитку підприємницької діяльності та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комфортного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життя мешканців на засадах збереження довкілля, удосконалення інженерної, транспортної, альтернативної енергетики соціальної інфраструктури та обслуговування.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numPr>
                <w:ilvl w:val="0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значення нових територій приро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дно-заповідного фонду на території Менської міської територіальної громади, охорони і збереження культурної спадщини та традиційного характеру середовища населених пунктів, а також послідовність реалізації рішень, у тому числі етапність освоєння територій;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розвитку туристичного потенціалу громади шляхом розбудови туристичних маршрутів на основі існуючих локацій об’єктів історику-культурної спадщини та природних принад громади;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прогнозування 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отреб у територіях для торгівлі, виробництва, рекреаційних та оздоровчих установ, транспорту та комунікацій, інженерного обладнання, озеленення і благоустрою, комунального господарства, забезпечення охорони навколишнього середовища та культурної спадщини;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формування пропозицій щодо розбудови підпри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ємств з переробки місцевої продукції  сільського, лісового господарства та розвитку виробничих територій на засадах збереження природного середовища і забезпечення сприятливих умов для життя місцевих мешканців.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numPr>
                <w:ilvl w:val="0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визначення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територій, перспективних для розширення житлової та громадської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забудови;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numPr>
                <w:ilvl w:val="0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врах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ування заходів передбачених Стратегією сталого розвитку громади.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врахув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ання інших заходів та програм 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Перелік земельних ділянок, що підлягають формуванню та реєстрації (у разі необхідності)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tabs>
                <w:tab w:val="center" w:leader="none" w:pos="2727"/>
              </w:tabs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передбачається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680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Вимоги до формату електронного документу містобудівної документації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Електронні документи комплексного плану та всіх його складових передаються у вигляді пакету файлів у форматі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Lempel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Zіv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Welch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(ZІP), засвідченого кваліфікованими електронними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підписами відповідальних за розроблення комплексного плану архітектора, який має відповідний кваліфікаційний сертифікат, та сертифікованого інженера-землевпорядника. Пакет файлів повинен містити повний набір просторових даних та метаданих документації баз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геоданих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, що передаються у форматі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File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Geodatabase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(GDB) або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JavaScript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Object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Notation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GeoJSON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) згідно із структурою, що визначається Міністерством розвитку громад та територій, набір відомостей, які відповідно до законодавства підлягають внесенню до Державного земельного кадастру, у форматі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eXtensіble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Маrkuр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Language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(XML), текстові, табличні та графічні матеріали документації у форматі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Adobe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Роrtаblе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Document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Fоrmаt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(PDF). Надані документи повинні у повній мірі відповідати вимогам постанови Кабінету Міністрів України від 9 червня 2021 р. №632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Перелік додаткових текстових та графічних матеріалів або додаткові вимоги до змісту текстових чи графічних матеріалів, передбачені замовником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 разі наявності у складі комплексного плану матеріалів з обмеженим доступом (текстових та графічних):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матеріали формуються з двох частин: для публічного використання (всі дані, за виключенням інформації з обмеженим доступом) та для обмеженого користування (інформація з обмеженим доступом – у вигляді окремого файлу);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складаються переліки відомостей з обмеженим доступом та згідно до ч. 1 ст., 6 Закону України «Про доступ до публічної інформації» зазначаються підстави щодо встановлення обмеження доступу з посиланням на відповідні законодавчі акти.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Текстові та графічні матеріали проектної документації (друкований вигляд) передаються замовнику: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проведення процедури стратегічної екологічної оцінки, громадських слухань та засідання архітектурно-містобудівної ради в 6 примірниках;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затвердження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комплексного плану – в 2 примірник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134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Правовий режим здійснення майнових прав на містобудівну документацію після передачі її замовнику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Майнові права на містобудівну документацію – Комплексний план просторового розвитку території Менської міської територіальної громади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Корюківського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району Чернігівської області після передачі Розробником переходять повністю Менській міській раді.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Після передачі документації Замовнику, Розробник втрачає право, без письмової згоди Менської міської ради передавати будь-які матеріали документації третім сторонам, крім випадків передбачених законодавством України.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365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Перелік пропозицій щодо проектних показників розвитку території досягнення яких є метою реалізації проектних рішень містобудівної документації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66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25"/>
              </w:tabs>
              <w:spacing w:after="0" w:afterAutospacing="0" w:line="240" w:lineRule="auto"/>
              <w:ind w:firstLine="0" w:left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Житлова забудова, благоустрій територій, розвиток інженерної інфраструктури, транспортної мобільності та дорожнього сервісу: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територія для житлового будівництва багатоквартирного та садибного типу, відп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овідних закладів громадського обслуговування (реабілітаційні центри,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хостели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бази відпочинку, гуртожитки, тощо) з урахуванням потреб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10,0 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будівництво мостів, автодоріг та розміще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ння об’єктів дорожнього сервісу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 об’єктів.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створення центрів генерації альтернативної енергетики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до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об’єктів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забезпечити населені пункти централізованим водопостачанням та водовідведенням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орієнтовною протяжністю до 50 км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побудувати систему газифікації в населеному пункті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Блистова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орієнтовною протяжністю до 10 км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створення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майданчиків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органічних рослинних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рештків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штук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створення сучасних приміщень громадських вбиралень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до 25 об’єктів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створення торгівельних майданчиків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до 5 об’єктів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будівництво веж мобільного зв’язку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до 10 об’єктів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будівництво  притулку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утримання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бездомних тварин в селищі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Макошине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створе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ння пожежних станцій – до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об’єктів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25"/>
              </w:tabs>
              <w:spacing w:after="0" w:afterAutospacing="0" w:line="240" w:lineRule="auto"/>
              <w:ind w:firstLine="0" w:left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Розвиток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підприємницької діяльності (переробна галузь, галузь с\г)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будівн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ицтво сортувальної лінії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до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створення майданчиків з метою встановлення контейнерів для роздільного збору сміття по кожному населеному пункту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до 500 штук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створення складів для зберігання сільськогосподарської продукції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до 10 об’єктів;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будівництво підприємств з переробки місцевої продукції сільського, лісового господарства та розвитку виробничих територій на засадах збереження природного середовища і забезпечення сприятливих умов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життя місцевих мешканців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до 20 об’єктів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створення кар’єрів для видобування піску і глини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до 3 об’єктів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будівн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ицтво тепличних комплексів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до 10 об’єктів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25"/>
              </w:tabs>
              <w:spacing w:after="0" w:afterAutospacing="0" w:line="240" w:lineRule="auto"/>
              <w:ind w:firstLine="0" w:left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Розвиток рекреації та туризму, збереження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природної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та історику-культурної спадщини, охорона довкілля та раціональне використання земельних ресурсів: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ворення туристичних та вело маршрутів, з урахуванням наявних пам’яток культурної спадщини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до 20 маршрутів (з урахуванням існуючих)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створення зелених зон  загального користування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до 60 зон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створення ландшафтно-рекреаційних зон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до 5 зон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ведення територій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екопоселень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до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25"/>
              </w:tabs>
              <w:spacing w:after="0" w:afterAutospacing="0" w:line="240" w:lineRule="auto"/>
              <w:ind w:firstLine="0" w:left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Обслуговування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населення (соціальна інфраструктура) та формування громадських просторів: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безпечити належну кількість сховищ та укриттів на території громади (частку охоплених об’єктів соціальної сфери збільшити до 100%);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громадські простори для короткострокового відпочинку (спортмайданчики, зони відпочинку біля водойм, дитячі майданчики, простори за інтересами, тощо)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45 об’єктів;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створення мережі спортивно-розважальних об’єктів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до 10 об’єктів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hanging="283"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ення місць для збереження культурної спадщини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до 55 об’єктів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 w:afterAutospacing="0" w:line="240" w:lineRule="auto"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Начальник Відділу архітектури та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Bdr/>
        <w:tabs>
          <w:tab w:val="left" w:leader="none" w:pos="7370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містобудування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Менської міської ради</w:t>
        <w:tab/>
        <w:t xml:space="preserve">Андрій ЮЩЕНКО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412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70409020205020404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pBdr/>
      <w:tabs>
        <w:tab w:val="center" w:leader="none" w:pos="3969"/>
        <w:tab w:val="clear" w:leader="none" w:pos="4844"/>
        <w:tab w:val="clear" w:leader="none" w:pos="9689"/>
      </w:tabs>
      <w:spacing/>
      <w:ind/>
      <w:jc w:val="right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  <w:tab/>
      <w:t xml:space="preserve">продовження додатка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92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ru-RU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4">
    <w:name w:val="Plain Table 1"/>
    <w:basedOn w:val="7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2"/>
    <w:basedOn w:val="7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3">
    <w:name w:val="Heading 1 Char"/>
    <w:basedOn w:val="770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4">
    <w:name w:val="Heading 2 Char"/>
    <w:basedOn w:val="770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5">
    <w:name w:val="Heading 3 Char"/>
    <w:basedOn w:val="770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6">
    <w:name w:val="Heading 4 Char"/>
    <w:basedOn w:val="770"/>
    <w:link w:val="7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7">
    <w:name w:val="Heading 5 Char"/>
    <w:basedOn w:val="770"/>
    <w:link w:val="7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8">
    <w:name w:val="Heading 6 Char"/>
    <w:basedOn w:val="770"/>
    <w:link w:val="7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9">
    <w:name w:val="Heading 7 Char"/>
    <w:basedOn w:val="770"/>
    <w:link w:val="7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0">
    <w:name w:val="Heading 8 Char"/>
    <w:basedOn w:val="770"/>
    <w:link w:val="7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>
    <w:name w:val="Heading 9 Char"/>
    <w:basedOn w:val="770"/>
    <w:link w:val="7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2">
    <w:name w:val="Title Char"/>
    <w:basedOn w:val="770"/>
    <w:link w:val="7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3">
    <w:name w:val="Subtitle Char"/>
    <w:basedOn w:val="770"/>
    <w:link w:val="9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4">
    <w:name w:val="Quote Char"/>
    <w:basedOn w:val="770"/>
    <w:link w:val="91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Intense Quote Char"/>
    <w:basedOn w:val="770"/>
    <w:link w:val="91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6">
    <w:name w:val="Header Char"/>
    <w:basedOn w:val="770"/>
    <w:link w:val="923"/>
    <w:uiPriority w:val="99"/>
    <w:pPr>
      <w:pBdr/>
      <w:spacing/>
      <w:ind/>
    </w:pPr>
  </w:style>
  <w:style w:type="character" w:styleId="757">
    <w:name w:val="Footer Char"/>
    <w:basedOn w:val="770"/>
    <w:link w:val="925"/>
    <w:uiPriority w:val="99"/>
    <w:pPr>
      <w:pBdr/>
      <w:spacing/>
      <w:ind/>
    </w:pPr>
  </w:style>
  <w:style w:type="character" w:styleId="758">
    <w:name w:val="Footnote Text Char"/>
    <w:basedOn w:val="770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759">
    <w:name w:val="Endnote Text Char"/>
    <w:basedOn w:val="770"/>
    <w:link w:val="931"/>
    <w:uiPriority w:val="99"/>
    <w:semiHidden/>
    <w:pPr>
      <w:pBdr/>
      <w:spacing/>
      <w:ind/>
    </w:pPr>
    <w:rPr>
      <w:sz w:val="20"/>
      <w:szCs w:val="20"/>
    </w:rPr>
  </w:style>
  <w:style w:type="paragraph" w:styleId="760" w:default="1">
    <w:name w:val="Normal"/>
    <w:qFormat/>
    <w:pPr>
      <w:pBdr/>
      <w:spacing/>
      <w:ind/>
    </w:pPr>
  </w:style>
  <w:style w:type="paragraph" w:styleId="761">
    <w:name w:val="Heading 1"/>
    <w:basedOn w:val="760"/>
    <w:next w:val="760"/>
    <w:link w:val="9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762">
    <w:name w:val="Heading 2"/>
    <w:basedOn w:val="760"/>
    <w:next w:val="760"/>
    <w:link w:val="90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763">
    <w:name w:val="Heading 3"/>
    <w:basedOn w:val="760"/>
    <w:next w:val="760"/>
    <w:link w:val="902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764">
    <w:name w:val="Heading 4"/>
    <w:basedOn w:val="760"/>
    <w:next w:val="760"/>
    <w:link w:val="903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765">
    <w:name w:val="Heading 5"/>
    <w:basedOn w:val="760"/>
    <w:next w:val="760"/>
    <w:link w:val="904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766">
    <w:name w:val="Heading 6"/>
    <w:basedOn w:val="760"/>
    <w:next w:val="760"/>
    <w:link w:val="905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7">
    <w:name w:val="Heading 7"/>
    <w:basedOn w:val="760"/>
    <w:next w:val="760"/>
    <w:link w:val="9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8">
    <w:name w:val="Heading 8"/>
    <w:basedOn w:val="760"/>
    <w:next w:val="760"/>
    <w:link w:val="9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9">
    <w:name w:val="Heading 9"/>
    <w:basedOn w:val="760"/>
    <w:next w:val="760"/>
    <w:link w:val="9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0" w:default="1">
    <w:name w:val="Default Paragraph Font"/>
    <w:uiPriority w:val="1"/>
    <w:semiHidden/>
    <w:unhideWhenUsed/>
    <w:pPr>
      <w:pBdr/>
      <w:spacing/>
      <w:ind/>
    </w:pPr>
  </w:style>
  <w:style w:type="table" w:styleId="7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2" w:default="1">
    <w:name w:val="No List"/>
    <w:uiPriority w:val="99"/>
    <w:semiHidden/>
    <w:unhideWhenUsed/>
    <w:pPr>
      <w:pBdr/>
      <w:spacing/>
      <w:ind/>
    </w:pPr>
  </w:style>
  <w:style w:type="table" w:styleId="773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4">
    <w:name w:val="Title"/>
    <w:basedOn w:val="760"/>
    <w:next w:val="760"/>
    <w:link w:val="90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table" w:styleId="775" w:customStyle="1">
    <w:name w:val="Table Grid Light"/>
    <w:basedOn w:val="77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а простая 11"/>
    <w:basedOn w:val="77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а простая 21"/>
    <w:basedOn w:val="77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а простая 3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а простая 4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а простая 5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-сетка 1 светлая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а-сетка 2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а-сетка 3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а-сетка 41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1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2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3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4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5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6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-сетка 5 темная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а-сетка 6 цветная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а-сетка 7 цветная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Список-таблица 1 светлая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Список-таблица 2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Список-таблица 3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Список-таблица 4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Список-таблица 5 темная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Список-таблица 6 цветная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Список-таблица 7 цветная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1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2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3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4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5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6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1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2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3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4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5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6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0" w:customStyle="1">
    <w:name w:val="Заголовок 1 Знак"/>
    <w:basedOn w:val="770"/>
    <w:link w:val="76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901" w:customStyle="1">
    <w:name w:val="Заголовок 2 Знак"/>
    <w:basedOn w:val="770"/>
    <w:link w:val="76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902" w:customStyle="1">
    <w:name w:val="Заголовок 3 Знак"/>
    <w:basedOn w:val="770"/>
    <w:link w:val="76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903" w:customStyle="1">
    <w:name w:val="Заголовок 4 Знак"/>
    <w:basedOn w:val="770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904" w:customStyle="1">
    <w:name w:val="Заголовок 5 Знак"/>
    <w:basedOn w:val="770"/>
    <w:link w:val="76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905" w:customStyle="1">
    <w:name w:val="Заголовок 6 Знак"/>
    <w:basedOn w:val="770"/>
    <w:link w:val="7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6" w:customStyle="1">
    <w:name w:val="Заголовок 7 Знак"/>
    <w:basedOn w:val="770"/>
    <w:link w:val="7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7" w:customStyle="1">
    <w:name w:val="Заголовок 8 Знак"/>
    <w:basedOn w:val="770"/>
    <w:link w:val="7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8" w:customStyle="1">
    <w:name w:val="Заголовок 9 Знак"/>
    <w:basedOn w:val="770"/>
    <w:link w:val="7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 w:customStyle="1">
    <w:name w:val="Заголовок Знак"/>
    <w:basedOn w:val="770"/>
    <w:link w:val="7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0">
    <w:name w:val="Subtitle"/>
    <w:basedOn w:val="760"/>
    <w:next w:val="760"/>
    <w:link w:val="911"/>
    <w:uiPriority w:val="11"/>
    <w:qFormat/>
    <w:pPr>
      <w:pBdr/>
      <w:spacing/>
      <w:ind/>
    </w:pPr>
    <w:rPr>
      <w:color w:val="595959"/>
      <w:sz w:val="28"/>
      <w:szCs w:val="28"/>
    </w:rPr>
  </w:style>
  <w:style w:type="character" w:styleId="911" w:customStyle="1">
    <w:name w:val="Подзаголовок Знак"/>
    <w:basedOn w:val="770"/>
    <w:link w:val="9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2">
    <w:name w:val="Quote"/>
    <w:basedOn w:val="760"/>
    <w:next w:val="760"/>
    <w:link w:val="91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3" w:customStyle="1">
    <w:name w:val="Цитата 2 Знак"/>
    <w:basedOn w:val="770"/>
    <w:link w:val="91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4">
    <w:name w:val="Intense Emphasis"/>
    <w:basedOn w:val="77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15">
    <w:name w:val="Intense Quote"/>
    <w:basedOn w:val="760"/>
    <w:next w:val="760"/>
    <w:link w:val="916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16" w:customStyle="1">
    <w:name w:val="Выделенная цитата Знак"/>
    <w:basedOn w:val="770"/>
    <w:link w:val="915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17">
    <w:name w:val="Intense Reference"/>
    <w:basedOn w:val="77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18">
    <w:name w:val="No Spacing"/>
    <w:basedOn w:val="760"/>
    <w:uiPriority w:val="1"/>
    <w:qFormat/>
    <w:pPr>
      <w:pBdr/>
      <w:spacing w:after="0" w:line="240" w:lineRule="auto"/>
      <w:ind/>
    </w:pPr>
  </w:style>
  <w:style w:type="character" w:styleId="919">
    <w:name w:val="Subtle Emphasis"/>
    <w:basedOn w:val="7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0">
    <w:name w:val="Emphasis"/>
    <w:basedOn w:val="770"/>
    <w:uiPriority w:val="20"/>
    <w:qFormat/>
    <w:pPr>
      <w:pBdr/>
      <w:spacing/>
      <w:ind/>
    </w:pPr>
    <w:rPr>
      <w:i/>
      <w:iCs/>
    </w:rPr>
  </w:style>
  <w:style w:type="character" w:styleId="921">
    <w:name w:val="Subtle Reference"/>
    <w:basedOn w:val="7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2">
    <w:name w:val="Book Title"/>
    <w:basedOn w:val="77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3">
    <w:name w:val="Header"/>
    <w:basedOn w:val="760"/>
    <w:link w:val="92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4" w:customStyle="1">
    <w:name w:val="Верхний колонтитул Знак"/>
    <w:basedOn w:val="770"/>
    <w:link w:val="923"/>
    <w:uiPriority w:val="99"/>
    <w:pPr>
      <w:pBdr/>
      <w:spacing/>
      <w:ind/>
    </w:pPr>
  </w:style>
  <w:style w:type="paragraph" w:styleId="925">
    <w:name w:val="Footer"/>
    <w:basedOn w:val="760"/>
    <w:link w:val="92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6" w:customStyle="1">
    <w:name w:val="Нижний колонтитул Знак"/>
    <w:basedOn w:val="770"/>
    <w:link w:val="925"/>
    <w:uiPriority w:val="99"/>
    <w:pPr>
      <w:pBdr/>
      <w:spacing/>
      <w:ind/>
    </w:pPr>
  </w:style>
  <w:style w:type="paragraph" w:styleId="927">
    <w:name w:val="Caption"/>
    <w:basedOn w:val="760"/>
    <w:next w:val="760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28">
    <w:name w:val="footnote text"/>
    <w:basedOn w:val="760"/>
    <w:link w:val="9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9" w:customStyle="1">
    <w:name w:val="Текст сноски Знак"/>
    <w:basedOn w:val="770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footnote reference"/>
    <w:basedOn w:val="770"/>
    <w:uiPriority w:val="99"/>
    <w:semiHidden/>
    <w:unhideWhenUsed/>
    <w:pPr>
      <w:pBdr/>
      <w:spacing/>
      <w:ind/>
    </w:pPr>
    <w:rPr>
      <w:vertAlign w:val="superscript"/>
    </w:rPr>
  </w:style>
  <w:style w:type="paragraph" w:styleId="931">
    <w:name w:val="endnote text"/>
    <w:basedOn w:val="760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 w:customStyle="1">
    <w:name w:val="Текст концевой сноски Знак"/>
    <w:basedOn w:val="770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endnote reference"/>
    <w:basedOn w:val="770"/>
    <w:uiPriority w:val="99"/>
    <w:semiHidden/>
    <w:unhideWhenUsed/>
    <w:pPr>
      <w:pBdr/>
      <w:spacing/>
      <w:ind/>
    </w:pPr>
    <w:rPr>
      <w:vertAlign w:val="superscript"/>
    </w:rPr>
  </w:style>
  <w:style w:type="character" w:styleId="934">
    <w:name w:val="Hyperlink"/>
    <w:basedOn w:val="77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5">
    <w:name w:val="FollowedHyperlink"/>
    <w:basedOn w:val="7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6">
    <w:name w:val="TOC Heading"/>
    <w:uiPriority w:val="39"/>
    <w:unhideWhenUsed/>
    <w:pPr>
      <w:pBdr/>
      <w:spacing/>
      <w:ind/>
    </w:pPr>
  </w:style>
  <w:style w:type="paragraph" w:styleId="937">
    <w:name w:val="table of figures"/>
    <w:basedOn w:val="760"/>
    <w:next w:val="760"/>
    <w:uiPriority w:val="99"/>
    <w:unhideWhenUsed/>
    <w:pPr>
      <w:pBdr/>
      <w:spacing w:after="0"/>
      <w:ind/>
    </w:pPr>
  </w:style>
  <w:style w:type="table" w:styleId="938">
    <w:name w:val="Table Grid"/>
    <w:basedOn w:val="771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9">
    <w:name w:val="annotation reference"/>
    <w:basedOn w:val="77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40">
    <w:name w:val="annotation text"/>
    <w:basedOn w:val="760"/>
    <w:link w:val="941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941" w:customStyle="1">
    <w:name w:val="Текст примечания Знак"/>
    <w:basedOn w:val="770"/>
    <w:link w:val="940"/>
    <w:uiPriority w:val="99"/>
    <w:pPr>
      <w:pBdr/>
      <w:spacing/>
      <w:ind/>
    </w:pPr>
    <w:rPr>
      <w:sz w:val="20"/>
      <w:szCs w:val="20"/>
    </w:rPr>
  </w:style>
  <w:style w:type="paragraph" w:styleId="942">
    <w:name w:val="annotation subject"/>
    <w:basedOn w:val="940"/>
    <w:next w:val="940"/>
    <w:link w:val="943"/>
    <w:uiPriority w:val="99"/>
    <w:semiHidden/>
    <w:unhideWhenUsed/>
    <w:pPr>
      <w:pBdr/>
      <w:spacing/>
      <w:ind/>
    </w:pPr>
    <w:rPr>
      <w:b/>
      <w:bCs/>
    </w:rPr>
  </w:style>
  <w:style w:type="character" w:styleId="943" w:customStyle="1">
    <w:name w:val="Тема примечания Знак"/>
    <w:basedOn w:val="941"/>
    <w:link w:val="942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944">
    <w:name w:val="Strong"/>
    <w:basedOn w:val="770"/>
    <w:uiPriority w:val="22"/>
    <w:qFormat/>
    <w:pPr>
      <w:pBdr/>
      <w:spacing/>
      <w:ind/>
    </w:pPr>
    <w:rPr>
      <w:b/>
      <w:bCs/>
    </w:rPr>
  </w:style>
  <w:style w:type="paragraph" w:styleId="945">
    <w:name w:val="List Paragraph"/>
    <w:basedOn w:val="760"/>
    <w:uiPriority w:val="34"/>
    <w:qFormat/>
    <w:pPr>
      <w:pBdr/>
      <w:spacing/>
      <w:ind w:left="720"/>
      <w:contextualSpacing w:val="true"/>
    </w:pPr>
  </w:style>
  <w:style w:type="table" w:styleId="946" w:customStyle="1">
    <w:name w:val="StGen0"/>
    <w:basedOn w:val="773"/>
    <w:pPr>
      <w:pBdr/>
      <w:spacing w:after="0" w:line="240" w:lineRule="auto"/>
      <w:ind/>
    </w:pPr>
    <w:rPr>
      <w:rFonts w:ascii="Arial" w:hAnsi="Arial" w:eastAsia="Arial" w:cs="Arial"/>
      <w:color w:val="404040"/>
    </w:r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shd w:val="clear" w:color="auto" w:fill="a9d08e"/>
      <w:tcBorders/>
    </w:tcPr>
    <w:tblStylePr w:type="band1Horz">
      <w:rPr>
        <w:rFonts w:ascii="Arial" w:hAnsi="Arial" w:eastAsia="Arial" w:cs="Arial"/>
        <w:color w:val="404040"/>
        <w:sz w:val="22"/>
        <w:szCs w:val="22"/>
      </w:rPr>
      <w:pPr>
        <w:pBdr/>
        <w:spacing/>
        <w:ind/>
      </w:pPr>
      <w:tblPr>
        <w:tblBorders/>
      </w:tblPr>
      <w:tcPr>
        <w:shd w:val="clear" w:color="auto" w:fill="daebcf"/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band1Vert">
      <w:rPr>
        <w:rFonts w:ascii="Arial" w:hAnsi="Arial" w:eastAsia="Arial" w:cs="Arial"/>
        <w:color w:val="404040"/>
        <w:sz w:val="22"/>
        <w:szCs w:val="22"/>
      </w:rPr>
      <w:pPr>
        <w:pBdr/>
        <w:spacing/>
        <w:ind/>
      </w:pPr>
      <w:tblPr>
        <w:tblBorders/>
      </w:tblPr>
      <w:tcPr>
        <w:shd w:val="clear" w:color="auto" w:fill="daebc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ascii="Arial" w:hAnsi="Arial" w:eastAsia="Arial" w:cs="Arial"/>
        <w:color w:val="404040"/>
        <w:sz w:val="22"/>
        <w:szCs w:val="22"/>
      </w:rPr>
      <w:pPr>
        <w:pBdr/>
        <w:spacing/>
        <w:ind/>
      </w:pPr>
      <w:tblPr>
        <w:tblBorders/>
      </w:tblPr>
      <w:tcPr>
        <w:shd w:val="clear" w:color="auto" w:fill="e1efd8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ascii="Arial" w:hAnsi="Arial" w:eastAsia="Arial" w:cs="Arial"/>
        <w:color w:val="404040"/>
        <w:sz w:val="22"/>
        <w:szCs w:val="22"/>
      </w:rPr>
      <w:pPr>
        <w:pBdr/>
        <w:spacing/>
        <w:ind/>
      </w:pPr>
      <w:tblPr>
        <w:tblBorders/>
      </w:tblPr>
      <w:tcPr>
        <w:shd w:val="clear" w:color="auto" w:fill="e1efd8"/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eastAsia="Arial" w:cs="Arial"/>
        <w:b/>
        <w:i/>
        <w:smallCaps/>
        <w:color w:val="404040"/>
        <w:sz w:val="22"/>
        <w:szCs w:val="22"/>
      </w:rPr>
      <w:pPr>
        <w:pBdr/>
        <w:spacing/>
        <w:ind/>
        <w:jc w:val="right"/>
      </w:pPr>
      <w:tblPr>
        <w:tblBorders/>
      </w:tblPr>
      <w:tcPr>
        <w:shd w:val="clear" w:color="auto" w:fill="70ad47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</w:tcPr>
    </w:tblStylePr>
    <w:tblStylePr w:type="firstRow">
      <w:rPr>
        <w:rFonts w:ascii="Arial" w:hAnsi="Arial" w:eastAsia="Arial" w:cs="Arial"/>
        <w:b/>
        <w:i/>
        <w:smallCaps/>
        <w:color w:val="404040"/>
        <w:sz w:val="22"/>
        <w:szCs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none" w:color="000000" w:sz="4" w:space="0"/>
          <w:left w:val="none" w:color="000000" w:sz="4" w:space="0"/>
          <w:bottom w:val="single" w:color="a9d08e" w:sz="12" w:space="0"/>
          <w:right w:val="none" w:color="000000" w:sz="4" w:space="0"/>
        </w:tcBorders>
      </w:tcPr>
    </w:tblStylePr>
    <w:tblStylePr w:type="lastCol">
      <w:rPr>
        <w:rFonts w:ascii="Arial" w:hAnsi="Arial" w:eastAsia="Arial" w:cs="Arial"/>
        <w:b/>
        <w:i/>
        <w:smallCaps/>
        <w:color w:val="404040"/>
        <w:sz w:val="22"/>
        <w:szCs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none" w:color="000000" w:sz="4" w:space="0"/>
          <w:left w:val="single" w:color="a9d08e" w:sz="12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eastAsia="Arial" w:cs="Arial"/>
        <w:b/>
        <w:i/>
        <w:smallCaps/>
        <w:color w:val="404040"/>
        <w:sz w:val="22"/>
        <w:szCs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a9d08e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StGen1"/>
    <w:basedOn w:val="773"/>
    <w:pPr>
      <w:pBdr/>
      <w:spacing w:after="0" w:line="240" w:lineRule="auto"/>
      <w:ind/>
    </w:pPr>
    <w:rPr>
      <w:rFonts w:ascii="Arial" w:hAnsi="Arial" w:eastAsia="Arial" w:cs="Arial"/>
      <w:color w:val="404040"/>
    </w:rPr>
    <w:tblPr>
      <w:tblStyleRowBandSize w:val="1"/>
      <w:tblStyleColBandSize w:val="1"/>
      <w:tblBorders/>
      <w:tblCellMar>
        <w:left w:w="108" w:type="dxa"/>
        <w:top w:w="57" w:type="dxa"/>
        <w:right w:w="108" w:type="dxa"/>
        <w:bottom w:w="57" w:type="dxa"/>
      </w:tblCellMar>
    </w:tblPr>
    <w:tcPr>
      <w:shd w:val="clear" w:color="auto" w:fill="a9d08e"/>
      <w:tcBorders/>
    </w:tcPr>
    <w:tblStylePr w:type="band1Horz">
      <w:rPr>
        <w:rFonts w:ascii="Arial" w:hAnsi="Arial" w:eastAsia="Arial" w:cs="Arial"/>
        <w:color w:val="404040"/>
        <w:sz w:val="22"/>
        <w:szCs w:val="22"/>
      </w:rPr>
      <w:pPr>
        <w:pBdr/>
        <w:spacing/>
        <w:ind/>
      </w:pPr>
      <w:tblPr>
        <w:tblBorders/>
      </w:tblPr>
      <w:tcPr>
        <w:shd w:val="clear" w:color="auto" w:fill="daebcf"/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band1Vert">
      <w:rPr>
        <w:rFonts w:ascii="Arial" w:hAnsi="Arial" w:eastAsia="Arial" w:cs="Arial"/>
        <w:color w:val="404040"/>
        <w:sz w:val="22"/>
        <w:szCs w:val="22"/>
      </w:rPr>
      <w:pPr>
        <w:pBdr/>
        <w:spacing/>
        <w:ind/>
      </w:pPr>
      <w:tblPr>
        <w:tblBorders/>
      </w:tblPr>
      <w:tcPr>
        <w:shd w:val="clear" w:color="auto" w:fill="daebc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ascii="Arial" w:hAnsi="Arial" w:eastAsia="Arial" w:cs="Arial"/>
        <w:color w:val="404040"/>
        <w:sz w:val="22"/>
        <w:szCs w:val="22"/>
      </w:rPr>
      <w:pPr>
        <w:pBdr/>
        <w:spacing/>
        <w:ind/>
      </w:pPr>
      <w:tblPr>
        <w:tblBorders/>
      </w:tblPr>
      <w:tcPr>
        <w:shd w:val="clear" w:color="auto" w:fill="e1efd8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ascii="Arial" w:hAnsi="Arial" w:eastAsia="Arial" w:cs="Arial"/>
        <w:color w:val="404040"/>
        <w:sz w:val="22"/>
        <w:szCs w:val="22"/>
      </w:rPr>
      <w:pPr>
        <w:pBdr/>
        <w:spacing/>
        <w:ind/>
      </w:pPr>
      <w:tblPr>
        <w:tblBorders/>
      </w:tblPr>
      <w:tcPr>
        <w:shd w:val="clear" w:color="auto" w:fill="e1efd8"/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eastAsia="Arial" w:cs="Arial"/>
        <w:b/>
        <w:i/>
        <w:smallCaps/>
        <w:color w:val="404040"/>
        <w:sz w:val="22"/>
        <w:szCs w:val="22"/>
      </w:rPr>
      <w:pPr>
        <w:pBdr/>
        <w:spacing/>
        <w:ind/>
        <w:jc w:val="right"/>
      </w:pPr>
      <w:tblPr>
        <w:tblBorders/>
      </w:tblPr>
      <w:tcPr>
        <w:shd w:val="clear" w:color="auto" w:fill="70ad47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</w:tcPr>
    </w:tblStylePr>
    <w:tblStylePr w:type="firstRow">
      <w:rPr>
        <w:rFonts w:ascii="Arial" w:hAnsi="Arial" w:eastAsia="Arial" w:cs="Arial"/>
        <w:b/>
        <w:i/>
        <w:smallCaps/>
        <w:color w:val="404040"/>
        <w:sz w:val="22"/>
        <w:szCs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none" w:color="000000" w:sz="4" w:space="0"/>
          <w:left w:val="none" w:color="000000" w:sz="4" w:space="0"/>
          <w:bottom w:val="single" w:color="a9d08e" w:sz="12" w:space="0"/>
          <w:right w:val="none" w:color="000000" w:sz="4" w:space="0"/>
        </w:tcBorders>
      </w:tcPr>
    </w:tblStylePr>
    <w:tblStylePr w:type="lastCol">
      <w:rPr>
        <w:rFonts w:ascii="Arial" w:hAnsi="Arial" w:eastAsia="Arial" w:cs="Arial"/>
        <w:b/>
        <w:i/>
        <w:smallCaps/>
        <w:color w:val="404040"/>
        <w:sz w:val="22"/>
        <w:szCs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none" w:color="000000" w:sz="4" w:space="0"/>
          <w:left w:val="single" w:color="a9d08e" w:sz="12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eastAsia="Arial" w:cs="Arial"/>
        <w:b/>
        <w:i/>
        <w:smallCaps/>
        <w:color w:val="404040"/>
        <w:sz w:val="22"/>
        <w:szCs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a9d08e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8">
    <w:name w:val="Balloon Text"/>
    <w:basedOn w:val="760"/>
    <w:link w:val="949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49" w:customStyle="1">
    <w:name w:val="Текст выноски Знак"/>
    <w:basedOn w:val="770"/>
    <w:link w:val="948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1CYPrsfllj8RwTvBO0LdkAgz9w==">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</go:docsCustomData>
</go:gDocsCustomXmlDataStorage>
</file>

<file path=customXml/itemProps1.xml><?xml version="1.0" encoding="utf-8"?>
<ds:datastoreItem xmlns:ds="http://schemas.openxmlformats.org/officeDocument/2006/customXml" ds:itemID="{71203BD2-6FD6-4731-A899-C6249892C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СТАЛЬНИЧЕНКО Юрій Валерійович</cp:lastModifiedBy>
  <cp:revision>9</cp:revision>
  <dcterms:created xsi:type="dcterms:W3CDTF">2025-01-17T11:36:00Z</dcterms:created>
  <dcterms:modified xsi:type="dcterms:W3CDTF">2025-01-24T17:20:31Z</dcterms:modified>
</cp:coreProperties>
</file>