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8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788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</w:rPr>
        <w:t xml:space="preserve">Додаток 1 </w:t>
      </w:r>
      <w:r>
        <w:rPr>
          <w:sz w:val="28"/>
        </w:rPr>
      </w:r>
      <w:r>
        <w:rPr>
          <w:sz w:val="28"/>
        </w:rPr>
      </w:r>
    </w:p>
    <w:p>
      <w:pPr>
        <w:pStyle w:val="768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788"/>
        <w:jc w:val="both"/>
        <w:rPr>
          <w:sz w:val="28"/>
        </w:rPr>
      </w:pPr>
      <w:r>
        <w:rPr>
          <w:color w:val="000000"/>
          <w:sz w:val="28"/>
        </w:rPr>
        <w:t xml:space="preserve">до рішення </w:t>
      </w:r>
      <w:r>
        <w:rPr>
          <w:color w:val="000000"/>
          <w:sz w:val="28"/>
          <w:lang w:val="ru-RU"/>
        </w:rPr>
        <w:t xml:space="preserve">57</w:t>
      </w:r>
      <w:r>
        <w:rPr>
          <w:color w:val="000000"/>
          <w:sz w:val="28"/>
        </w:rPr>
        <w:t xml:space="preserve"> сесії Менської міської ради 8 скликання </w:t>
      </w:r>
      <w:r>
        <w:rPr>
          <w:sz w:val="28"/>
        </w:rPr>
      </w:r>
      <w:r>
        <w:rPr>
          <w:sz w:val="28"/>
        </w:rPr>
      </w:r>
    </w:p>
    <w:p>
      <w:pPr>
        <w:pStyle w:val="768"/>
        <w:pBdr/>
        <w:tabs>
          <w:tab w:val="left" w:leader="none" w:pos="567"/>
        </w:tabs>
        <w:spacing/>
        <w:ind w:right="-2" w:firstLine="142" w:left="5669"/>
        <w:jc w:val="both"/>
        <w:rPr>
          <w:sz w:val="28"/>
          <w:lang w:val="ru-RU"/>
        </w:rPr>
      </w:pPr>
      <w:r>
        <w:rPr>
          <w:color w:val="000000"/>
          <w:sz w:val="28"/>
          <w:lang w:val="ru-RU"/>
        </w:rPr>
        <w:t xml:space="preserve">24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lang w:val="ru-RU"/>
        </w:rPr>
        <w:t xml:space="preserve">січня</w:t>
      </w:r>
      <w:r>
        <w:rPr>
          <w:color w:val="000000"/>
          <w:sz w:val="28"/>
        </w:rPr>
        <w:t xml:space="preserve"> 202</w:t>
      </w:r>
      <w:r>
        <w:rPr>
          <w:color w:val="000000"/>
          <w:sz w:val="28"/>
          <w:lang w:val="ru-RU"/>
        </w:rPr>
        <w:t xml:space="preserve">5</w:t>
      </w:r>
      <w:r>
        <w:rPr>
          <w:color w:val="000000"/>
          <w:sz w:val="28"/>
        </w:rPr>
        <w:t xml:space="preserve"> року №</w:t>
      </w:r>
      <w:r>
        <w:rPr>
          <w:sz w:val="28"/>
        </w:rPr>
        <w:t xml:space="preserve"> </w:t>
      </w:r>
      <w:r>
        <w:rPr>
          <w:sz w:val="28"/>
          <w:lang w:val="ru-RU"/>
        </w:rPr>
        <w:t xml:space="preserve">9</w:t>
      </w:r>
      <w:r>
        <w:rPr>
          <w:sz w:val="28"/>
          <w:lang w:val="ru-RU"/>
        </w:rPr>
      </w:r>
      <w:r>
        <w:rPr>
          <w:sz w:val="28"/>
          <w:lang w:val="ru-RU"/>
        </w:rPr>
      </w:r>
    </w:p>
    <w:p>
      <w:pPr>
        <w:pStyle w:val="967"/>
        <w:pBdr/>
        <w:spacing/>
        <w:ind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7"/>
        <w:pBdr/>
        <w:spacing/>
        <w:ind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ЗВІТ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7"/>
        <w:pBdr/>
        <w:spacing/>
        <w:ind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директора Комунального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підприємства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«</w:t>
      </w:r>
      <w:r>
        <w:rPr>
          <w:color w:val="000000"/>
          <w:sz w:val="28"/>
          <w:szCs w:val="28"/>
          <w:lang w:val="uk-UA"/>
        </w:rPr>
        <w:t xml:space="preserve">Менакомунпослуга</w:t>
      </w:r>
      <w:r>
        <w:rPr>
          <w:color w:val="000000"/>
          <w:sz w:val="28"/>
          <w:szCs w:val="28"/>
        </w:rPr>
        <w:t xml:space="preserve">»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7"/>
        <w:pBdr/>
        <w:spacing/>
        <w:ind/>
        <w:jc w:val="both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Менської міської ради Олександра Манжули</w:t>
      </w:r>
      <w:r>
        <w:rPr>
          <w:color w:val="000000"/>
          <w:sz w:val="28"/>
          <w:szCs w:val="28"/>
        </w:rPr>
        <w:t xml:space="preserve"> про роботу</w:t>
      </w:r>
      <w:r>
        <w:rPr>
          <w:color w:val="000000"/>
          <w:sz w:val="28"/>
          <w:szCs w:val="28"/>
          <w:lang w:val="uk-UA"/>
        </w:rPr>
        <w:t xml:space="preserve"> за </w:t>
      </w:r>
      <w:r>
        <w:rPr>
          <w:color w:val="000000"/>
          <w:sz w:val="28"/>
          <w:szCs w:val="28"/>
        </w:rPr>
        <w:t xml:space="preserve">202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рік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b/>
          <w:color w:val="000000"/>
          <w:sz w:val="28"/>
          <w:szCs w:val="28"/>
          <w:lang w:val="uk-UA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768"/>
        <w:pBdr/>
        <w:spacing/>
        <w:ind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Комунальне підприємство «Менакомунпослуга» створене згідно рішення               17 се</w:t>
      </w:r>
      <w:r>
        <w:rPr>
          <w:color w:val="000000"/>
          <w:sz w:val="28"/>
          <w:szCs w:val="28"/>
        </w:rPr>
        <w:t xml:space="preserve">сії 6 скликання Менської міської ради від 24 квітня 2012 року. </w:t>
        <w:br/>
        <w:t xml:space="preserve">Підприємство є унітарним, належить до комунальної власності територіальної громади, підпорядковується Менській міській раді, свою діяльність підприємство здійснює на території Менської ТГ. </w:t>
        <w:tab/>
        <w:br/>
        <w:br/>
      </w:r>
      <w:r>
        <w:rPr>
          <w:color w:val="000000"/>
          <w:sz w:val="28"/>
          <w:szCs w:val="28"/>
        </w:rPr>
        <w:t xml:space="preserve">                                    Основні види діяльності підприємства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1</w:t>
      </w:r>
      <w:r>
        <w:rPr>
          <w:color w:val="000000"/>
          <w:sz w:val="28"/>
          <w:szCs w:val="28"/>
        </w:rPr>
        <w:t xml:space="preserve">) Управління </w:t>
      </w:r>
      <w:r>
        <w:rPr>
          <w:color w:val="000000"/>
          <w:sz w:val="28"/>
          <w:szCs w:val="28"/>
        </w:rPr>
        <w:t xml:space="preserve">побутовими відходами (збирання, </w:t>
      </w:r>
      <w:r>
        <w:rPr>
          <w:color w:val="000000"/>
          <w:sz w:val="28"/>
          <w:szCs w:val="28"/>
        </w:rPr>
        <w:t xml:space="preserve">пере</w:t>
      </w:r>
      <w:r>
        <w:rPr>
          <w:color w:val="000000"/>
          <w:sz w:val="28"/>
          <w:szCs w:val="28"/>
        </w:rPr>
        <w:t xml:space="preserve">везення</w:t>
      </w:r>
      <w:r>
        <w:rPr>
          <w:color w:val="000000"/>
          <w:sz w:val="28"/>
          <w:szCs w:val="28"/>
        </w:rPr>
        <w:t xml:space="preserve">, видалення</w:t>
      </w:r>
      <w:r>
        <w:rPr>
          <w:color w:val="000000"/>
          <w:sz w:val="28"/>
          <w:szCs w:val="28"/>
        </w:rPr>
        <w:t xml:space="preserve"> твердих та рідких побутових відходів).</w:t>
        <w:br w:type="textWrapping" w:clear="all"/>
      </w: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2) </w:t>
      </w:r>
      <w:r>
        <w:rPr>
          <w:color w:val="000000"/>
          <w:sz w:val="28"/>
          <w:szCs w:val="28"/>
        </w:rPr>
        <w:t xml:space="preserve">Б</w:t>
      </w:r>
      <w:r>
        <w:rPr>
          <w:color w:val="000000"/>
          <w:sz w:val="28"/>
          <w:szCs w:val="28"/>
        </w:rPr>
        <w:t xml:space="preserve">лагоустр</w:t>
      </w:r>
      <w:r>
        <w:rPr>
          <w:color w:val="000000"/>
          <w:sz w:val="28"/>
          <w:szCs w:val="28"/>
        </w:rPr>
        <w:t xml:space="preserve">ій</w:t>
      </w:r>
      <w:r>
        <w:rPr>
          <w:color w:val="000000"/>
          <w:sz w:val="28"/>
          <w:szCs w:val="28"/>
        </w:rPr>
        <w:t xml:space="preserve"> населених пунктів Менської ТГ.</w:t>
        <w:br w:type="textWrapping" w:clear="all"/>
      </w: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3) Обслуговування електромереж вуличного освітлення на території Менської ТГ.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4) Послуги з </w:t>
      </w:r>
      <w:r>
        <w:rPr>
          <w:color w:val="000000"/>
          <w:sz w:val="28"/>
          <w:szCs w:val="28"/>
        </w:rPr>
        <w:t xml:space="preserve">централізованого </w:t>
      </w:r>
      <w:r>
        <w:rPr>
          <w:color w:val="000000"/>
          <w:sz w:val="28"/>
          <w:szCs w:val="28"/>
        </w:rPr>
        <w:t xml:space="preserve">водопостачання та </w:t>
      </w:r>
      <w:r>
        <w:rPr>
          <w:color w:val="000000"/>
          <w:sz w:val="28"/>
          <w:szCs w:val="28"/>
        </w:rPr>
        <w:t xml:space="preserve">централізованого </w:t>
      </w:r>
      <w:r>
        <w:rPr>
          <w:color w:val="000000"/>
          <w:sz w:val="28"/>
          <w:szCs w:val="28"/>
        </w:rPr>
        <w:t xml:space="preserve">водовідведення.</w:t>
        <w:br w:type="textWrapping" w:clear="all"/>
      </w:r>
      <w:r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5) Послуги лазні.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left="-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07"/>
        <w:widowControl w:val="false"/>
        <w:numPr>
          <w:ilvl w:val="0"/>
          <w:numId w:val="24"/>
        </w:numPr>
        <w:pBdr/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Управління побутовими відходам</w:t>
      </w:r>
      <w:bookmarkStart w:id="0" w:name="_Hlk64033860"/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widowControl w:val="false"/>
        <w:pBdr/>
        <w:spacing/>
        <w:ind w:firstLine="708"/>
        <w:rPr>
          <w:iCs/>
          <w:color w:val="000000"/>
          <w:sz w:val="28"/>
          <w:szCs w:val="28"/>
        </w:rPr>
      </w:pPr>
      <w:r/>
      <w:bookmarkStart w:id="1" w:name="_Hlk64030243"/>
      <w:r>
        <w:rPr>
          <w:iCs/>
          <w:color w:val="000000"/>
          <w:sz w:val="28"/>
          <w:szCs w:val="28"/>
        </w:rPr>
      </w:r>
      <w:r>
        <w:rPr>
          <w:iCs/>
          <w:color w:val="000000"/>
          <w:sz w:val="28"/>
          <w:szCs w:val="28"/>
        </w:rPr>
      </w:r>
    </w:p>
    <w:p>
      <w:pPr>
        <w:pStyle w:val="768"/>
        <w:widowControl w:val="false"/>
        <w:pBdr/>
        <w:spacing/>
        <w:ind w:firstLine="708"/>
        <w:jc w:val="both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Рішенням виконавчого комітету Менської міської ради № 142 від 07 червня 2023 р, згідно якого КП «Менакомунпослуга» визначено виконавцем послуг </w:t>
      </w:r>
      <w:r>
        <w:rPr>
          <w:iCs/>
          <w:color w:val="000000"/>
          <w:sz w:val="28"/>
          <w:szCs w:val="28"/>
        </w:rPr>
        <w:t xml:space="preserve">з управління</w:t>
      </w:r>
      <w:r>
        <w:rPr>
          <w:iCs/>
          <w:color w:val="000000"/>
          <w:sz w:val="28"/>
          <w:szCs w:val="28"/>
        </w:rPr>
        <w:t xml:space="preserve">  побутовими відходами на території Менської міської територіальної  громади.</w:t>
      </w:r>
      <w:bookmarkEnd w:id="0"/>
      <w:r/>
      <w:bookmarkEnd w:id="1"/>
      <w:r>
        <w:rPr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Послуги з </w:t>
      </w:r>
      <w:r>
        <w:rPr>
          <w:color w:val="000000"/>
          <w:sz w:val="28"/>
          <w:szCs w:val="28"/>
        </w:rPr>
        <w:t xml:space="preserve">управління</w:t>
      </w:r>
      <w:r>
        <w:rPr>
          <w:color w:val="000000"/>
          <w:sz w:val="28"/>
          <w:szCs w:val="28"/>
        </w:rPr>
        <w:t xml:space="preserve"> побутовими відходами надаються спецтранспортом ГАЗ 3307, ФПВ 422 МВ-10, УАК УСВ-</w:t>
      </w:r>
      <w:r>
        <w:rPr>
          <w:color w:val="000000"/>
          <w:sz w:val="28"/>
          <w:szCs w:val="28"/>
          <w:lang w:val="en-US"/>
        </w:rPr>
        <w:t xml:space="preserve">Z</w:t>
      </w:r>
      <w:r>
        <w:rPr>
          <w:color w:val="000000"/>
          <w:sz w:val="28"/>
          <w:szCs w:val="28"/>
        </w:rPr>
        <w:t xml:space="preserve">1 трактором Беларус 320.4 та  ЗІЛ 554, які знаходяться у господарському віданні комунального підприємства.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widowControl w:val="false"/>
        <w:pBdr/>
        <w:spacing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Абонентська база на кінець 202</w:t>
      </w:r>
      <w:r>
        <w:rPr>
          <w:color w:val="000000"/>
          <w:sz w:val="28"/>
          <w:szCs w:val="28"/>
        </w:rPr>
        <w:t xml:space="preserve">4</w:t>
      </w:r>
      <w:r>
        <w:rPr>
          <w:color w:val="000000"/>
          <w:sz w:val="28"/>
          <w:szCs w:val="28"/>
        </w:rPr>
        <w:t xml:space="preserve"> року налічує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4718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особових рахунків, відповідно </w:t>
      </w:r>
      <w:r>
        <w:rPr>
          <w:bCs/>
          <w:color w:val="000000"/>
          <w:sz w:val="28"/>
          <w:szCs w:val="28"/>
        </w:rPr>
        <w:t xml:space="preserve">8577</w:t>
      </w:r>
      <w:r>
        <w:rPr>
          <w:color w:val="000000"/>
          <w:sz w:val="28"/>
          <w:szCs w:val="28"/>
        </w:rPr>
        <w:t xml:space="preserve"> абонент</w:t>
      </w:r>
      <w:r>
        <w:rPr>
          <w:color w:val="000000"/>
          <w:sz w:val="28"/>
          <w:szCs w:val="28"/>
        </w:rPr>
        <w:t xml:space="preserve">ів</w:t>
      </w:r>
      <w:r>
        <w:rPr>
          <w:color w:val="000000"/>
          <w:sz w:val="28"/>
          <w:szCs w:val="28"/>
        </w:rPr>
        <w:t xml:space="preserve">, на </w:t>
      </w:r>
      <w:r>
        <w:rPr>
          <w:color w:val="000000"/>
          <w:sz w:val="28"/>
          <w:szCs w:val="28"/>
        </w:rPr>
        <w:t xml:space="preserve">перевезення та видалення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побутових відходів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firstLine="708"/>
        <w:rPr>
          <w:b/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  <w:t xml:space="preserve">Обсяг наданих послуг з </w:t>
      </w:r>
      <w:r>
        <w:rPr>
          <w:color w:val="000000"/>
          <w:sz w:val="28"/>
          <w:szCs w:val="28"/>
        </w:rPr>
        <w:t xml:space="preserve">управління</w:t>
      </w:r>
      <w:r>
        <w:rPr>
          <w:color w:val="000000"/>
          <w:sz w:val="28"/>
          <w:szCs w:val="28"/>
        </w:rPr>
        <w:t xml:space="preserve"> побутовими відходами складає:</w:t>
        <w:br/>
      </w:r>
      <w:r>
        <w:rPr>
          <w:b/>
          <w:color w:val="000000"/>
          <w:sz w:val="28"/>
          <w:szCs w:val="28"/>
        </w:rPr>
        <w:t xml:space="preserve">-  </w:t>
      </w:r>
      <w:r>
        <w:rPr>
          <w:color w:val="000000"/>
          <w:sz w:val="28"/>
          <w:szCs w:val="28"/>
        </w:rPr>
        <w:t xml:space="preserve">15 552,7 м</w:t>
      </w:r>
      <w:r>
        <w:rPr>
          <w:color w:val="000000"/>
          <w:sz w:val="28"/>
          <w:szCs w:val="28"/>
          <w:vertAlign w:val="superscript"/>
        </w:rPr>
        <w:t xml:space="preserve">3 </w:t>
      </w:r>
      <w:r>
        <w:rPr>
          <w:bCs/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</w:rPr>
        <w:t xml:space="preserve"> населення, збільшення в порівнянні з минулим роком на 1271,3 приблизно 10%;</w:t>
        <w:br/>
        <w:t xml:space="preserve">- </w:t>
      </w:r>
      <w:bookmarkStart w:id="2" w:name="_Hlk64275520"/>
      <w:r>
        <w:rPr>
          <w:color w:val="000000"/>
          <w:sz w:val="28"/>
          <w:szCs w:val="28"/>
        </w:rPr>
        <w:t xml:space="preserve"> 6 434,0 м</w:t>
      </w:r>
      <w:r>
        <w:rPr>
          <w:color w:val="000000"/>
          <w:sz w:val="28"/>
          <w:szCs w:val="28"/>
          <w:vertAlign w:val="superscript"/>
        </w:rPr>
        <w:t xml:space="preserve">3</w:t>
      </w:r>
      <w:bookmarkEnd w:id="2"/>
      <w:r>
        <w:rPr>
          <w:color w:val="000000"/>
          <w:sz w:val="28"/>
          <w:szCs w:val="28"/>
          <w:vertAlign w:val="superscript"/>
        </w:rPr>
        <w:t xml:space="preserve">  </w:t>
      </w:r>
      <w:r>
        <w:rPr>
          <w:bCs/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 xml:space="preserve">бюджетних установ та інших споживачів, </w:t>
      </w:r>
      <w:r>
        <w:rPr>
          <w:color w:val="000000"/>
          <w:sz w:val="28"/>
          <w:szCs w:val="28"/>
        </w:rPr>
        <w:t xml:space="preserve">збільшення в порівнянні з минулим роком на 1216,8 приблизно 20%;</w:t>
      </w:r>
      <w:r>
        <w:rPr>
          <w:color w:val="000000"/>
          <w:sz w:val="28"/>
          <w:szCs w:val="28"/>
        </w:rPr>
        <w:br/>
      </w:r>
      <w:r>
        <w:rPr>
          <w:bCs/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3 078,7 м</w:t>
      </w:r>
      <w:r>
        <w:rPr>
          <w:bCs/>
          <w:color w:val="000000"/>
          <w:sz w:val="28"/>
          <w:szCs w:val="28"/>
          <w:vertAlign w:val="superscript"/>
        </w:rPr>
        <w:t xml:space="preserve">3 </w:t>
      </w:r>
      <w:r>
        <w:rPr>
          <w:color w:val="000000"/>
          <w:sz w:val="28"/>
          <w:szCs w:val="28"/>
        </w:rPr>
        <w:t xml:space="preserve"> самовивіз (бюдж.уст. та ін.спож), </w:t>
      </w:r>
      <w:r>
        <w:rPr>
          <w:color w:val="000000"/>
          <w:sz w:val="28"/>
          <w:szCs w:val="28"/>
        </w:rPr>
        <w:t xml:space="preserve">збільшення в порівнянні з минулим роком на 1547,2 приблизно в два рази;</w:t>
      </w:r>
      <w:r>
        <w:rPr>
          <w:bCs/>
          <w:color w:val="000000"/>
          <w:sz w:val="28"/>
          <w:szCs w:val="28"/>
        </w:rPr>
        <w:br/>
        <w:t xml:space="preserve">-  478,0 </w:t>
      </w:r>
      <w:bookmarkStart w:id="3" w:name="_Hlk64276628"/>
      <w:r>
        <w:rPr>
          <w:bCs/>
          <w:color w:val="000000"/>
          <w:sz w:val="28"/>
          <w:szCs w:val="28"/>
        </w:rPr>
        <w:t xml:space="preserve">м</w:t>
      </w:r>
      <w:r>
        <w:rPr>
          <w:bCs/>
          <w:color w:val="000000"/>
          <w:sz w:val="28"/>
          <w:szCs w:val="28"/>
          <w:vertAlign w:val="superscript"/>
        </w:rPr>
        <w:t xml:space="preserve">3</w:t>
      </w:r>
      <w:bookmarkEnd w:id="3"/>
      <w:r>
        <w:rPr>
          <w:b/>
          <w:bCs/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 xml:space="preserve"> самовивіз (населення), </w:t>
      </w:r>
      <w:r>
        <w:rPr>
          <w:color w:val="000000"/>
          <w:sz w:val="28"/>
          <w:szCs w:val="28"/>
        </w:rPr>
        <w:t xml:space="preserve">збільшення в порівнянні з минулим роком на </w:t>
      </w:r>
      <w:r>
        <w:rPr>
          <w:color w:val="000000"/>
          <w:sz w:val="28"/>
          <w:szCs w:val="28"/>
        </w:rPr>
        <w:t xml:space="preserve">13,5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vertAlign w:val="superscript"/>
        </w:rPr>
        <w:t xml:space="preserve">3</w:t>
      </w:r>
      <w:r>
        <w:rPr>
          <w:b w:val="0"/>
          <w:bCs w:val="0"/>
          <w:color w:val="auto"/>
          <w:sz w:val="28"/>
          <w:szCs w:val="28"/>
        </w:rPr>
        <w:t xml:space="preserve">;</w:t>
      </w:r>
      <w:r>
        <w:rPr>
          <w:color w:val="000000"/>
          <w:sz w:val="28"/>
          <w:szCs w:val="28"/>
        </w:rPr>
        <w:br/>
        <w:t xml:space="preserve">Всього: </w:t>
      </w:r>
      <w:r>
        <w:rPr>
          <w:color w:val="000000"/>
          <w:sz w:val="28"/>
          <w:szCs w:val="28"/>
        </w:rPr>
        <w:t xml:space="preserve">25 543,4 м</w:t>
      </w:r>
      <w:r>
        <w:rPr>
          <w:color w:val="000000"/>
          <w:sz w:val="28"/>
          <w:szCs w:val="28"/>
          <w:vertAlign w:val="superscript"/>
        </w:rPr>
        <w:t xml:space="preserve">3</w:t>
      </w:r>
      <w:r>
        <w:rPr>
          <w:b/>
          <w:color w:val="000000"/>
          <w:sz w:val="28"/>
          <w:szCs w:val="28"/>
          <w:vertAlign w:val="superscript"/>
        </w:rPr>
        <w:t xml:space="preserve">  </w:t>
      </w:r>
      <w:r>
        <w:rPr>
          <w:color w:val="000000"/>
          <w:sz w:val="28"/>
          <w:szCs w:val="28"/>
        </w:rPr>
        <w:t xml:space="preserve">збільшення в порівнянні з минулим роком на 4048,8 м3, приблизно 20%.</w:t>
      </w:r>
      <w:r>
        <w:rPr>
          <w:rFonts w:ascii="Times New Roman" w:hAnsi="Times New Roman" w:eastAsia="Times New Roman" w:cs="Times New Roman"/>
          <w:color w:val="ff0000"/>
          <w:sz w:val="36"/>
        </w:rPr>
        <w:t xml:space="preserve">     </w:t>
      </w:r>
      <w:r>
        <w:rPr>
          <w:b/>
          <w:color w:val="000000"/>
          <w:sz w:val="28"/>
          <w:szCs w:val="28"/>
          <w:vertAlign w:val="superscript"/>
        </w:rPr>
        <w:t xml:space="preserve">  </w:t>
      </w:r>
      <w:bookmarkStart w:id="4" w:name="_Hlk64030341"/>
      <w:r>
        <w:rPr>
          <w:b/>
          <w:color w:val="000000"/>
          <w:sz w:val="28"/>
          <w:szCs w:val="28"/>
          <w:vertAlign w:val="superscript"/>
        </w:rPr>
      </w:r>
      <w:r>
        <w:rPr>
          <w:b/>
          <w:color w:val="000000"/>
          <w:sz w:val="28"/>
          <w:szCs w:val="28"/>
          <w:vertAlign w:val="superscript"/>
        </w:rPr>
      </w:r>
    </w:p>
    <w:p>
      <w:pPr>
        <w:pStyle w:val="768"/>
        <w:pBdr/>
        <w:spacing/>
        <w:ind w:firstLine="708"/>
        <w:rPr>
          <w:color w:val="000000"/>
          <w:sz w:val="28"/>
          <w:szCs w:val="28"/>
          <w:vertAlign w:val="superscript"/>
        </w:rPr>
      </w:pPr>
      <w:r/>
      <w:bookmarkEnd w:id="4"/>
      <w:r>
        <w:rPr>
          <w:color w:val="000000"/>
          <w:sz w:val="28"/>
          <w:szCs w:val="28"/>
        </w:rPr>
        <w:t xml:space="preserve">Обсяг наданих послуг з вивезення та захоронення рідких побутових відходів складає:</w:t>
        <w:br w:type="textWrapping" w:clear="all"/>
      </w:r>
      <w:r>
        <w:rPr>
          <w:b/>
          <w:bCs/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 xml:space="preserve">1 494,0 м</w:t>
      </w:r>
      <w:r>
        <w:rPr>
          <w:bCs/>
          <w:color w:val="000000"/>
          <w:sz w:val="28"/>
          <w:szCs w:val="28"/>
          <w:vertAlign w:val="superscript"/>
        </w:rPr>
        <w:t xml:space="preserve">3</w:t>
      </w:r>
      <w:r>
        <w:rPr>
          <w:color w:val="000000"/>
          <w:sz w:val="28"/>
          <w:szCs w:val="28"/>
        </w:rPr>
        <w:t xml:space="preserve">від </w:t>
      </w:r>
      <w:bookmarkStart w:id="5" w:name="_Hlk124340371"/>
      <w:r>
        <w:rPr>
          <w:color w:val="000000"/>
          <w:sz w:val="28"/>
          <w:szCs w:val="28"/>
        </w:rPr>
        <w:t xml:space="preserve">населення</w:t>
      </w:r>
      <w:bookmarkEnd w:id="5"/>
      <w:r>
        <w:rPr>
          <w:color w:val="000000"/>
          <w:sz w:val="28"/>
          <w:szCs w:val="28"/>
        </w:rPr>
        <w:t xml:space="preserve">; </w:t>
        <w:br w:type="textWrapping" w:clear="all"/>
      </w:r>
      <w:r>
        <w:rPr>
          <w:bCs/>
          <w:color w:val="000000"/>
          <w:sz w:val="28"/>
          <w:szCs w:val="28"/>
        </w:rPr>
        <w:t xml:space="preserve">- 806,40 </w:t>
      </w:r>
      <w:bookmarkStart w:id="6" w:name="_Hlk124340164"/>
      <w:r>
        <w:rPr>
          <w:bCs/>
          <w:color w:val="000000"/>
          <w:sz w:val="28"/>
          <w:szCs w:val="28"/>
        </w:rPr>
        <w:t xml:space="preserve">м</w:t>
      </w:r>
      <w:r>
        <w:rPr>
          <w:bCs/>
          <w:color w:val="000000"/>
          <w:sz w:val="28"/>
          <w:szCs w:val="28"/>
          <w:vertAlign w:val="superscript"/>
        </w:rPr>
        <w:t xml:space="preserve">3</w:t>
      </w:r>
      <w:bookmarkEnd w:id="6"/>
      <w:r>
        <w:rPr>
          <w:color w:val="000000"/>
          <w:sz w:val="28"/>
          <w:szCs w:val="28"/>
        </w:rPr>
        <w:t xml:space="preserve"> від бюджетних установ та інших споживачів;</w:t>
      </w:r>
      <w:r>
        <w:rPr>
          <w:color w:val="000000"/>
          <w:sz w:val="28"/>
          <w:szCs w:val="28"/>
          <w:vertAlign w:val="superscript"/>
        </w:rPr>
      </w:r>
      <w:r>
        <w:rPr>
          <w:color w:val="000000"/>
          <w:sz w:val="28"/>
          <w:szCs w:val="28"/>
          <w:vertAlign w:val="superscript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vertAlign w:val="superscript"/>
        </w:rPr>
        <w:t xml:space="preserve">-</w:t>
      </w:r>
      <w:r>
        <w:rPr>
          <w:bCs/>
          <w:color w:val="000000"/>
          <w:sz w:val="28"/>
          <w:szCs w:val="28"/>
        </w:rPr>
        <w:t xml:space="preserve"> 1 504,8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м</w:t>
      </w:r>
      <w:r>
        <w:rPr>
          <w:bCs/>
          <w:color w:val="000000"/>
          <w:sz w:val="28"/>
          <w:szCs w:val="28"/>
          <w:vertAlign w:val="superscript"/>
        </w:rPr>
        <w:t xml:space="preserve">3  </w:t>
      </w:r>
      <w:r>
        <w:rPr>
          <w:color w:val="000000"/>
          <w:sz w:val="28"/>
          <w:szCs w:val="28"/>
        </w:rPr>
        <w:t xml:space="preserve">від населення смт Макошине, (асенізаційна машина);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- 421,2 м</w:t>
      </w:r>
      <w:r>
        <w:rPr>
          <w:color w:val="000000"/>
          <w:sz w:val="28"/>
          <w:szCs w:val="28"/>
          <w:vertAlign w:val="superscript"/>
        </w:rPr>
        <w:t xml:space="preserve">3</w:t>
      </w:r>
      <w:r>
        <w:rPr>
          <w:color w:val="000000"/>
          <w:sz w:val="28"/>
          <w:szCs w:val="28"/>
          <w:vertAlign w:val="subscript"/>
        </w:rPr>
        <w:t xml:space="preserve"> </w:t>
      </w:r>
      <w:r>
        <w:rPr>
          <w:color w:val="000000"/>
          <w:sz w:val="28"/>
          <w:szCs w:val="28"/>
        </w:rPr>
        <w:t xml:space="preserve">ви</w:t>
      </w:r>
      <w:r>
        <w:rPr>
          <w:color w:val="000000"/>
          <w:sz w:val="28"/>
          <w:szCs w:val="28"/>
        </w:rPr>
        <w:t xml:space="preserve">везено міських каналізаційних стоків, при аварії каналізаційної мережі в м. Мена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b/>
          <w:bCs/>
          <w:color w:val="000000"/>
          <w:sz w:val="28"/>
          <w:szCs w:val="28"/>
          <w:vertAlign w:val="superscript"/>
        </w:rPr>
      </w:pPr>
      <w:r>
        <w:rPr>
          <w:color w:val="000000"/>
          <w:sz w:val="28"/>
          <w:szCs w:val="28"/>
        </w:rPr>
        <w:t xml:space="preserve">    Всього: </w:t>
      </w:r>
      <w:r>
        <w:rPr>
          <w:bCs/>
          <w:color w:val="000000"/>
          <w:sz w:val="28"/>
          <w:szCs w:val="28"/>
        </w:rPr>
        <w:t xml:space="preserve">4 226,4 м</w:t>
      </w:r>
      <w:r>
        <w:rPr>
          <w:bCs/>
          <w:color w:val="000000"/>
          <w:sz w:val="28"/>
          <w:szCs w:val="28"/>
          <w:vertAlign w:val="superscript"/>
        </w:rPr>
        <w:t xml:space="preserve">3</w:t>
      </w:r>
      <w:r>
        <w:rPr>
          <w:b/>
          <w:bCs/>
          <w:color w:val="000000"/>
          <w:sz w:val="28"/>
          <w:szCs w:val="28"/>
          <w:vertAlign w:val="superscript"/>
        </w:rPr>
      </w:r>
      <w:r>
        <w:rPr>
          <w:b/>
          <w:bCs/>
          <w:color w:val="000000"/>
          <w:sz w:val="28"/>
          <w:szCs w:val="28"/>
          <w:vertAlign w:val="superscript"/>
        </w:rPr>
      </w:r>
    </w:p>
    <w:p>
      <w:pPr>
        <w:pStyle w:val="768"/>
        <w:pBdr/>
        <w:spacing/>
        <w:ind/>
        <w:rPr>
          <w:b/>
          <w:bCs/>
          <w:color w:val="000000"/>
          <w:sz w:val="28"/>
          <w:szCs w:val="28"/>
          <w:vertAlign w:val="superscript"/>
        </w:rPr>
      </w:pPr>
      <w:r>
        <w:rPr>
          <w:b/>
          <w:bCs/>
          <w:color w:val="000000"/>
          <w:sz w:val="28"/>
          <w:szCs w:val="28"/>
          <w:vertAlign w:val="superscript"/>
        </w:rPr>
      </w:r>
      <w:r>
        <w:rPr>
          <w:b/>
          <w:bCs/>
          <w:color w:val="000000"/>
          <w:sz w:val="28"/>
          <w:szCs w:val="28"/>
          <w:vertAlign w:val="superscript"/>
        </w:rPr>
      </w:r>
      <w:r>
        <w:rPr>
          <w:b/>
          <w:bCs/>
          <w:color w:val="000000"/>
          <w:sz w:val="28"/>
          <w:szCs w:val="28"/>
          <w:vertAlign w:val="superscript"/>
        </w:rPr>
      </w:r>
    </w:p>
    <w:p>
      <w:pPr>
        <w:pStyle w:val="768"/>
        <w:numPr>
          <w:ilvl w:val="0"/>
          <w:numId w:val="24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Благоустрій населених пунктів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left="267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Для забезпечення виконання статутних завдань </w:t>
      </w:r>
      <w:r>
        <w:rPr>
          <w:color w:val="000000"/>
          <w:sz w:val="28"/>
          <w:szCs w:val="28"/>
        </w:rPr>
        <w:t xml:space="preserve">з</w:t>
      </w:r>
      <w:r>
        <w:rPr>
          <w:color w:val="000000"/>
          <w:sz w:val="28"/>
          <w:szCs w:val="28"/>
        </w:rPr>
        <w:t xml:space="preserve"> благоустрою населених пунктів Менської міської територіальної громади, комунальне підприємство «Менакомунпослуга» спільно з Менською міською рад</w:t>
      </w:r>
      <w:r>
        <w:rPr>
          <w:color w:val="000000"/>
          <w:sz w:val="28"/>
          <w:szCs w:val="28"/>
        </w:rPr>
        <w:t xml:space="preserve">ою розробили «Програму підтримки КП «Менакомунпослуга» на 2022 – 2024р.», метою якої є реалізація основних напрямків, спрямованих на забезпечення належного технічного, санітарного та екологічного стану об’єктів благоустрою в Менській територіальній громаді</w:t>
      </w:r>
      <w:r>
        <w:rPr>
          <w:color w:val="000000"/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території 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Мена та 17-ти старостинських округах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За звітний період пров</w:t>
      </w:r>
      <w:r>
        <w:rPr>
          <w:color w:val="000000"/>
          <w:sz w:val="28"/>
          <w:szCs w:val="28"/>
        </w:rPr>
        <w:t xml:space="preserve">одились</w:t>
      </w:r>
      <w:r>
        <w:rPr>
          <w:color w:val="000000"/>
          <w:sz w:val="28"/>
          <w:szCs w:val="28"/>
        </w:rPr>
        <w:t xml:space="preserve"> такі роботи: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утримання вулично-дорожньої мережі;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утримання та коронування зелених насаджень;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санітарна очистка та прибирання об’єктів благоустрою;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розчищення снігу в населених пунктах громади;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ліквідація ожеледі на тротуарах та вулицях;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посипання піщано-сольовою сумішшю тротуарів, вулиць, парків та скверів;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підчищання та прибирання наносу під бордюрами;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коронування та видалення перерослих і аварійних дерев;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подрібнення гілок та деревини;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облаштування контейнерних майданчиків;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ліквідація стихійних сміттєзвалищ;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ремонт парканів на кладовищах;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ремонт містків та колодязів громадського користування;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фарбування лавок, парканів, декоративних виробів, тощо;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косіння трави та парослі;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догляд за квітковими клумбами та композиціями;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улаштування зливової каналізації для дощової води;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прибирання опалого листя в парках та скверах;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улаштування та ремонт дорожніх знаків і вказівників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br/>
        <w:t xml:space="preserve">         Роботи по удосконаленню та благоустрою населених пунктів Менської громади виконувались за допомогою тракторів: МТЗ-80 –</w:t>
      </w:r>
      <w:r>
        <w:rPr>
          <w:color w:val="000000"/>
          <w:sz w:val="28"/>
          <w:szCs w:val="28"/>
        </w:rPr>
        <w:t xml:space="preserve"> 1од., </w:t>
      </w:r>
      <w:r>
        <w:rPr>
          <w:color w:val="000000"/>
          <w:sz w:val="28"/>
          <w:szCs w:val="28"/>
        </w:rPr>
        <w:t xml:space="preserve">Беларус 320.4 – </w:t>
      </w:r>
      <w:r>
        <w:rPr>
          <w:color w:val="000000"/>
          <w:sz w:val="28"/>
          <w:szCs w:val="28"/>
        </w:rPr>
        <w:t xml:space="preserve">1од.,</w:t>
      </w:r>
      <w:r>
        <w:rPr>
          <w:color w:val="000000"/>
          <w:sz w:val="28"/>
          <w:szCs w:val="28"/>
        </w:rPr>
        <w:t xml:space="preserve"> Беларус 892.2 - </w:t>
      </w:r>
      <w:r>
        <w:rPr>
          <w:bCs/>
          <w:color w:val="000000"/>
          <w:sz w:val="28"/>
          <w:szCs w:val="28"/>
        </w:rPr>
        <w:t xml:space="preserve">3 од.,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ЗИЛ 554 </w:t>
      </w:r>
      <w:r>
        <w:rPr>
          <w:color w:val="000000"/>
          <w:sz w:val="28"/>
          <w:szCs w:val="28"/>
        </w:rPr>
        <w:t xml:space="preserve">– </w:t>
      </w:r>
      <w:r>
        <w:rPr>
          <w:bCs/>
          <w:color w:val="000000"/>
          <w:sz w:val="28"/>
          <w:szCs w:val="28"/>
        </w:rPr>
        <w:t xml:space="preserve">1од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  <w:t xml:space="preserve"> причіпного та навісного обладнання до них.</w:t>
        <w:br/>
        <w:t xml:space="preserve">       </w:t>
      </w:r>
      <w:r>
        <w:rPr>
          <w:color w:val="000000"/>
          <w:sz w:val="28"/>
          <w:szCs w:val="28"/>
        </w:rPr>
        <w:t xml:space="preserve">     Фінансова підтримка здійснювалась за рахунок «Програми підтримки </w:t>
        <w:br/>
        <w:t xml:space="preserve">КП «Менакомунпослуга» Менської міської ради на 2022 – 2024 р.р.»</w:t>
        <w:br/>
      </w:r>
      <w:bookmarkStart w:id="7" w:name="_Hlk64044094"/>
      <w:r>
        <w:rPr>
          <w:color w:val="000000"/>
          <w:sz w:val="28"/>
          <w:szCs w:val="28"/>
        </w:rPr>
        <w:t xml:space="preserve">- </w:t>
      </w:r>
      <w:r>
        <w:rPr>
          <w:bCs/>
          <w:color w:val="000000"/>
          <w:sz w:val="28"/>
          <w:szCs w:val="28"/>
        </w:rPr>
        <w:t xml:space="preserve">6 512 183 </w:t>
      </w:r>
      <w:r>
        <w:rPr>
          <w:color w:val="000000"/>
          <w:sz w:val="28"/>
          <w:szCs w:val="28"/>
        </w:rPr>
        <w:t xml:space="preserve">грн.</w:t>
      </w:r>
      <w:bookmarkEnd w:id="7"/>
      <w:r>
        <w:rPr>
          <w:color w:val="000000"/>
          <w:sz w:val="28"/>
          <w:szCs w:val="28"/>
        </w:rPr>
        <w:t xml:space="preserve"> на заробітну плату з податками, збільшення в порівняні з минулим роком на - 913  523 грн, приблизно на 16 %;</w:t>
        <w:br/>
        <w:t xml:space="preserve">- </w:t>
      </w:r>
      <w:r>
        <w:rPr>
          <w:bCs/>
          <w:color w:val="000000"/>
          <w:sz w:val="28"/>
          <w:szCs w:val="28"/>
        </w:rPr>
        <w:t xml:space="preserve">1 782 76</w:t>
      </w:r>
      <w:r>
        <w:rPr>
          <w:bCs/>
          <w:color w:val="000000"/>
          <w:sz w:val="28"/>
          <w:szCs w:val="28"/>
        </w:rPr>
        <w:t xml:space="preserve">3</w:t>
      </w:r>
      <w:r>
        <w:rPr>
          <w:color w:val="000000"/>
          <w:sz w:val="28"/>
          <w:szCs w:val="28"/>
        </w:rPr>
        <w:t xml:space="preserve"> грн.  на паливно-мастильні матеріали та запчастини, </w:t>
      </w:r>
      <w:r>
        <w:rPr>
          <w:color w:val="000000"/>
          <w:sz w:val="28"/>
          <w:szCs w:val="28"/>
        </w:rPr>
        <w:t xml:space="preserve">зменшення в порівняні з минулим роком на - 326 212 грн, приблизно на 18 %;</w:t>
      </w:r>
      <w:r>
        <w:rPr>
          <w:color w:val="000000"/>
          <w:sz w:val="28"/>
          <w:szCs w:val="28"/>
        </w:rPr>
        <w:br/>
        <w:t xml:space="preserve">-  347 602 грн.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на придбання витратних матеріалів, інвентарю, спец одягу, </w:t>
      </w:r>
      <w:r>
        <w:rPr>
          <w:color w:val="000000"/>
          <w:sz w:val="28"/>
          <w:szCs w:val="28"/>
        </w:rPr>
        <w:t xml:space="preserve">зменшення  в порівняні з минулим роком на - 519 909 грн, приблизно на в 2,5 рази;</w:t>
      </w:r>
      <w:r>
        <w:rPr>
          <w:color w:val="000000"/>
          <w:sz w:val="28"/>
          <w:szCs w:val="28"/>
        </w:rPr>
        <w:br/>
        <w:t xml:space="preserve">- 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613 239 грн.</w:t>
      </w:r>
      <w:r>
        <w:rPr>
          <w:b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 xml:space="preserve">на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оплат</w:t>
      </w:r>
      <w:r>
        <w:rPr>
          <w:color w:val="000000"/>
          <w:sz w:val="28"/>
          <w:szCs w:val="28"/>
        </w:rPr>
        <w:t xml:space="preserve">у</w:t>
      </w:r>
      <w:r>
        <w:rPr>
          <w:color w:val="000000"/>
          <w:sz w:val="28"/>
          <w:szCs w:val="28"/>
        </w:rPr>
        <w:t xml:space="preserve"> послуг (підгрібання полігонів, ремонт </w:t>
      </w:r>
      <w:r>
        <w:rPr>
          <w:color w:val="000000"/>
          <w:sz w:val="28"/>
          <w:szCs w:val="28"/>
        </w:rPr>
        <w:t xml:space="preserve"> доріг </w:t>
      </w:r>
      <w:r>
        <w:rPr>
          <w:color w:val="000000"/>
          <w:sz w:val="28"/>
          <w:szCs w:val="28"/>
        </w:rPr>
        <w:t xml:space="preserve"> та ін.), </w:t>
      </w:r>
      <w:r>
        <w:rPr>
          <w:color w:val="000000"/>
          <w:sz w:val="28"/>
          <w:szCs w:val="28"/>
        </w:rPr>
        <w:t xml:space="preserve">зменшення  в порівняні з минулим роком на - 508 857 грн, приблизно на в 2 рази;</w:t>
      </w:r>
      <w:r>
        <w:rPr>
          <w:b/>
          <w:color w:val="000000"/>
          <w:sz w:val="28"/>
          <w:szCs w:val="28"/>
          <w:u w:val="single"/>
        </w:rPr>
        <w:br/>
      </w:r>
      <w:r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32499 грн.</w:t>
      </w:r>
      <w:r>
        <w:rPr>
          <w:color w:val="000000"/>
          <w:sz w:val="28"/>
          <w:szCs w:val="28"/>
        </w:rPr>
        <w:t xml:space="preserve"> екологічний податок</w:t>
      </w:r>
      <w:r>
        <w:rPr>
          <w:color w:val="000000"/>
          <w:sz w:val="28"/>
          <w:szCs w:val="28"/>
        </w:rPr>
        <w:t xml:space="preserve"> збільшення  в порівняні з минулим роком на - 5796 грн, приблизно  22%;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видатків: 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9 288286 грн, зменшення в порівнянні з минулим роком на - 435 659,  приблизно 5 %.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 xml:space="preserve">                                        </w:t>
      </w:r>
      <w:r>
        <w:rPr>
          <w:color w:val="000000"/>
          <w:sz w:val="28"/>
          <w:szCs w:val="28"/>
        </w:rPr>
        <w:br/>
        <w:t xml:space="preserve">                          4</w:t>
      </w:r>
      <w:r>
        <w:rPr>
          <w:color w:val="000000"/>
          <w:sz w:val="28"/>
          <w:szCs w:val="28"/>
        </w:rPr>
        <w:t xml:space="preserve">. Обслуговування мереж вуличного</w:t>
      </w:r>
      <w:r>
        <w:rPr>
          <w:color w:val="000000"/>
          <w:sz w:val="28"/>
          <w:szCs w:val="28"/>
        </w:rPr>
        <w:t xml:space="preserve"> освітлення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Згідно договору № </w:t>
      </w:r>
      <w:r>
        <w:rPr>
          <w:color w:val="000000"/>
          <w:sz w:val="28"/>
          <w:szCs w:val="28"/>
        </w:rPr>
        <w:t xml:space="preserve">62</w:t>
      </w:r>
      <w:r>
        <w:rPr>
          <w:color w:val="000000"/>
          <w:sz w:val="28"/>
          <w:szCs w:val="28"/>
        </w:rPr>
        <w:t xml:space="preserve">-0</w:t>
      </w:r>
      <w:r>
        <w:rPr>
          <w:color w:val="000000"/>
          <w:sz w:val="28"/>
          <w:szCs w:val="28"/>
        </w:rPr>
        <w:t xml:space="preserve">1</w:t>
      </w:r>
      <w:r>
        <w:rPr>
          <w:color w:val="000000"/>
          <w:sz w:val="28"/>
          <w:szCs w:val="28"/>
        </w:rPr>
        <w:t xml:space="preserve">/202</w:t>
      </w:r>
      <w:r>
        <w:rPr>
          <w:color w:val="000000"/>
          <w:sz w:val="28"/>
          <w:szCs w:val="28"/>
        </w:rPr>
        <w:t xml:space="preserve">4</w:t>
      </w:r>
      <w:r>
        <w:rPr>
          <w:color w:val="000000"/>
          <w:sz w:val="28"/>
          <w:szCs w:val="28"/>
        </w:rPr>
        <w:t xml:space="preserve"> від </w:t>
      </w:r>
      <w:r>
        <w:rPr>
          <w:color w:val="000000"/>
          <w:sz w:val="28"/>
          <w:szCs w:val="28"/>
        </w:rPr>
        <w:t xml:space="preserve">31</w:t>
      </w:r>
      <w:r>
        <w:rPr>
          <w:color w:val="000000"/>
          <w:sz w:val="28"/>
          <w:szCs w:val="28"/>
        </w:rPr>
        <w:t xml:space="preserve">.0</w:t>
      </w:r>
      <w:r>
        <w:rPr>
          <w:color w:val="000000"/>
          <w:sz w:val="28"/>
          <w:szCs w:val="28"/>
        </w:rPr>
        <w:t xml:space="preserve">1</w:t>
      </w:r>
      <w:r>
        <w:rPr>
          <w:color w:val="000000"/>
          <w:sz w:val="28"/>
          <w:szCs w:val="28"/>
        </w:rPr>
        <w:t xml:space="preserve">.202</w:t>
      </w:r>
      <w:r>
        <w:rPr>
          <w:color w:val="000000"/>
          <w:sz w:val="28"/>
          <w:szCs w:val="28"/>
        </w:rPr>
        <w:t xml:space="preserve">4</w:t>
      </w:r>
      <w:r>
        <w:rPr>
          <w:color w:val="000000"/>
          <w:sz w:val="28"/>
          <w:szCs w:val="28"/>
        </w:rPr>
        <w:t xml:space="preserve"> р. КП «Менакомунпослуга» надавала послуги з обслуговування </w:t>
      </w:r>
      <w:r>
        <w:rPr>
          <w:color w:val="000000"/>
          <w:sz w:val="28"/>
          <w:szCs w:val="28"/>
        </w:rPr>
        <w:t xml:space="preserve">мереж вуличного освітлення </w:t>
      </w:r>
      <w:r>
        <w:rPr>
          <w:color w:val="000000"/>
          <w:sz w:val="28"/>
          <w:szCs w:val="28"/>
        </w:rPr>
        <w:t xml:space="preserve">в м. Мена та 15-ти населених пунктах Менської громади.</w:t>
        <w:br w:type="textWrapping" w:clear="all"/>
        <w:t xml:space="preserve">       </w:t>
        <w:tab/>
        <w:t xml:space="preserve">Загальна протяжність мереж вуличного освітлення становить </w:t>
      </w:r>
      <w:r>
        <w:rPr>
          <w:bCs/>
          <w:color w:val="000000"/>
          <w:sz w:val="28"/>
          <w:szCs w:val="28"/>
        </w:rPr>
        <w:t xml:space="preserve">201,421км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які включають в себе </w:t>
      </w:r>
      <w:r>
        <w:rPr>
          <w:bCs/>
          <w:color w:val="000000"/>
          <w:sz w:val="28"/>
          <w:szCs w:val="28"/>
        </w:rPr>
        <w:t xml:space="preserve">55</w:t>
      </w:r>
      <w:r>
        <w:rPr>
          <w:color w:val="000000"/>
          <w:sz w:val="28"/>
          <w:szCs w:val="28"/>
        </w:rPr>
        <w:t xml:space="preserve"> пунктів управління  та </w:t>
      </w:r>
      <w:r>
        <w:rPr>
          <w:bCs/>
          <w:color w:val="000000"/>
          <w:sz w:val="28"/>
          <w:szCs w:val="28"/>
        </w:rPr>
        <w:t xml:space="preserve">2 947</w:t>
      </w:r>
      <w:r>
        <w:rPr>
          <w:color w:val="000000"/>
          <w:sz w:val="28"/>
          <w:szCs w:val="28"/>
        </w:rPr>
        <w:t xml:space="preserve"> ліхтарів вуличного освітлення.   </w:t>
        <w:br w:type="textWrapping" w:clear="all"/>
        <w:t xml:space="preserve">       </w:t>
        <w:tab/>
        <w:t xml:space="preserve">За звітний період 202</w:t>
      </w:r>
      <w:r>
        <w:rPr>
          <w:color w:val="000000"/>
          <w:sz w:val="28"/>
          <w:szCs w:val="28"/>
        </w:rPr>
        <w:t xml:space="preserve">4</w:t>
      </w:r>
      <w:r>
        <w:rPr>
          <w:color w:val="000000"/>
          <w:sz w:val="28"/>
          <w:szCs w:val="28"/>
        </w:rPr>
        <w:t xml:space="preserve"> року, фахівцями КП «Менакомунпослуга» проводились роботи по обслуговуванню, ремонту мереж вуличного освітлення та зняттю показників витрат електричної енергії з лічильників споживання.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Також протягом року надавались послуги автовишки та бригади електромонтерів іншим споживачам.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numPr>
          <w:ilvl w:val="0"/>
          <w:numId w:val="27"/>
        </w:numPr>
        <w:pBdr/>
        <w:spacing/>
        <w:ind w:right="-14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Послуги з централізованого водопостачання та водовідведення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80"/>
        <w:pBdr/>
        <w:spacing w:after="0" w:afterAutospacing="0" w:before="0" w:beforeAutospacing="0"/>
        <w:ind w:right="-144"/>
        <w:jc w:val="both"/>
        <w:rPr/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Відповідно до рішення виконавчого комітету № 17 від 28 січня 2022 року     «Про визначення КП «Менакомунпослуга» надавачем послуг з централізованого водопостачання та централізованого водовідведення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по Менській територіальній громаді.</w:t>
      </w:r>
      <w:r/>
    </w:p>
    <w:p>
      <w:pPr>
        <w:pStyle w:val="768"/>
        <w:widowControl w:val="false"/>
        <w:pBdr/>
        <w:spacing/>
        <w:ind w:firstLine="708"/>
        <w:rPr>
          <w:sz w:val="24"/>
          <w:szCs w:val="24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  Абонентська база на кінець 2024 року налічує</w:t>
      </w:r>
      <w:r>
        <w:rPr>
          <w:color w:val="000000"/>
          <w:sz w:val="28"/>
          <w:szCs w:val="28"/>
          <w:lang w:eastAsia="uk-UA"/>
        </w:rPr>
        <w:t xml:space="preserve"> </w:t>
      </w:r>
      <w:r>
        <w:rPr>
          <w:bCs/>
          <w:color w:val="000000"/>
          <w:sz w:val="28"/>
          <w:szCs w:val="28"/>
          <w:lang w:eastAsia="uk-UA"/>
        </w:rPr>
        <w:t xml:space="preserve">382</w:t>
      </w:r>
      <w:r>
        <w:rPr>
          <w:color w:val="000000"/>
          <w:sz w:val="28"/>
          <w:szCs w:val="28"/>
          <w:lang w:eastAsia="uk-UA"/>
        </w:rPr>
        <w:t xml:space="preserve"> особових рахунків, відповідно </w:t>
      </w:r>
      <w:r>
        <w:rPr>
          <w:bCs/>
          <w:color w:val="000000"/>
          <w:sz w:val="28"/>
          <w:szCs w:val="28"/>
          <w:lang w:eastAsia="uk-UA"/>
        </w:rPr>
        <w:t xml:space="preserve">714</w:t>
      </w:r>
      <w:r>
        <w:rPr>
          <w:color w:val="000000"/>
          <w:sz w:val="28"/>
          <w:szCs w:val="28"/>
          <w:lang w:eastAsia="uk-UA"/>
        </w:rPr>
        <w:t xml:space="preserve"> абонентів, з централізованого водопостачання.</w:t>
      </w:r>
      <w:r>
        <w:rPr>
          <w:sz w:val="24"/>
          <w:szCs w:val="24"/>
          <w:lang w:eastAsia="uk-UA"/>
        </w:rPr>
      </w:r>
      <w:r>
        <w:rPr>
          <w:sz w:val="24"/>
          <w:szCs w:val="24"/>
          <w:lang w:eastAsia="uk-UA"/>
        </w:rPr>
      </w:r>
    </w:p>
    <w:p>
      <w:pPr>
        <w:pStyle w:val="768"/>
        <w:pBdr/>
        <w:spacing/>
        <w:ind w:right="-144" w:firstLine="708"/>
        <w:rPr>
          <w:sz w:val="24"/>
          <w:szCs w:val="24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За минулий рік з  восьми свердловин було:</w:t>
        <w:br w:type="textWrapping" w:clear="all"/>
        <w:t xml:space="preserve"> - піднято води              </w:t>
      </w:r>
      <w:r>
        <w:rPr>
          <w:bCs/>
          <w:color w:val="000000"/>
          <w:sz w:val="28"/>
          <w:szCs w:val="28"/>
          <w:lang w:eastAsia="uk-UA"/>
        </w:rPr>
        <w:t xml:space="preserve">24 670 м³</w:t>
      </w:r>
      <w:r>
        <w:rPr>
          <w:color w:val="000000"/>
          <w:sz w:val="28"/>
          <w:szCs w:val="28"/>
          <w:lang w:eastAsia="uk-UA"/>
        </w:rPr>
        <w:t xml:space="preserve">;</w:t>
        <w:br w:type="textWrapping" w:clear="all"/>
        <w:t xml:space="preserve"> - спожито води            </w:t>
      </w:r>
      <w:r>
        <w:rPr>
          <w:bCs/>
          <w:color w:val="000000"/>
          <w:sz w:val="28"/>
          <w:szCs w:val="28"/>
          <w:lang w:eastAsia="uk-UA"/>
        </w:rPr>
        <w:t xml:space="preserve">20 524 м³</w:t>
      </w:r>
      <w:r>
        <w:rPr>
          <w:color w:val="000000"/>
          <w:sz w:val="28"/>
          <w:szCs w:val="28"/>
          <w:lang w:eastAsia="uk-UA"/>
        </w:rPr>
        <w:t xml:space="preserve">.</w:t>
      </w:r>
      <w:r>
        <w:rPr>
          <w:color w:val="000000"/>
          <w:sz w:val="28"/>
          <w:szCs w:val="28"/>
          <w:lang w:eastAsia="uk-UA"/>
        </w:rPr>
        <w:br w:type="textWrapping" w:clear="all"/>
        <w:t xml:space="preserve"> З централізованого водовідведення:</w:t>
        <w:br w:type="textWrapping" w:clear="all"/>
        <w:t xml:space="preserve"> - транспортовано </w:t>
      </w:r>
      <w:r>
        <w:rPr>
          <w:bCs/>
          <w:color w:val="000000"/>
          <w:sz w:val="28"/>
          <w:szCs w:val="28"/>
          <w:lang w:eastAsia="uk-UA"/>
        </w:rPr>
        <w:t xml:space="preserve">3 019 м</w:t>
      </w:r>
      <w:r>
        <w:rPr>
          <w:bCs/>
          <w:color w:val="000000"/>
          <w:sz w:val="28"/>
          <w:szCs w:val="28"/>
          <w:vertAlign w:val="superscript"/>
          <w:lang w:eastAsia="uk-UA"/>
        </w:rPr>
        <w:t xml:space="preserve">3</w:t>
      </w:r>
      <w:r>
        <w:rPr>
          <w:color w:val="000000"/>
          <w:sz w:val="28"/>
          <w:szCs w:val="28"/>
          <w:vertAlign w:val="superscript"/>
          <w:lang w:eastAsia="uk-UA"/>
        </w:rPr>
        <w:t xml:space="preserve"> </w:t>
      </w:r>
      <w:r>
        <w:rPr>
          <w:color w:val="000000"/>
          <w:sz w:val="28"/>
          <w:szCs w:val="28"/>
          <w:lang w:eastAsia="uk-UA"/>
        </w:rPr>
        <w:t xml:space="preserve">каналізаційних стоків.</w:t>
        <w:br w:type="textWrapping" w:clear="all"/>
        <w:t xml:space="preserve"> Надано послуг з вивезення РПВ по вул. Заводська, 3, Заводська 4, Заводська 5, Заводська 6, Заводська 11, Заводська, 13, Центральна, 29А в сел. Макошине, в будинках де відсутнє централізоване водовідведення, але є вигрібні ями </w:t>
      </w:r>
      <w:r>
        <w:rPr>
          <w:bCs/>
          <w:color w:val="000000"/>
          <w:sz w:val="28"/>
          <w:szCs w:val="28"/>
          <w:lang w:eastAsia="uk-UA"/>
        </w:rPr>
        <w:t xml:space="preserve">1 234,8 м</w:t>
      </w:r>
      <w:r>
        <w:rPr>
          <w:bCs/>
          <w:color w:val="000000"/>
          <w:sz w:val="28"/>
          <w:szCs w:val="28"/>
          <w:vertAlign w:val="superscript"/>
          <w:lang w:eastAsia="uk-UA"/>
        </w:rPr>
        <w:t xml:space="preserve">3</w:t>
      </w:r>
      <w:r>
        <w:rPr>
          <w:bCs/>
          <w:color w:val="000000"/>
          <w:sz w:val="28"/>
          <w:szCs w:val="28"/>
          <w:lang w:eastAsia="uk-UA"/>
        </w:rPr>
        <w:t xml:space="preserve">.</w:t>
      </w:r>
      <w:r>
        <w:rPr>
          <w:sz w:val="24"/>
          <w:szCs w:val="24"/>
          <w:lang w:eastAsia="uk-UA"/>
        </w:rPr>
      </w:r>
      <w:r>
        <w:rPr>
          <w:sz w:val="24"/>
          <w:szCs w:val="24"/>
          <w:lang w:eastAsia="uk-UA"/>
        </w:rPr>
      </w:r>
    </w:p>
    <w:p>
      <w:pPr>
        <w:pStyle w:val="768"/>
        <w:pBdr/>
        <w:spacing/>
        <w:ind w:right="-144" w:firstLine="708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</w:rPr>
        <w:t xml:space="preserve">З приймання стоків на очисні споруди:</w:t>
        <w:br w:type="textWrapping" w:clear="all"/>
        <w:t xml:space="preserve">- прийнято </w:t>
      </w:r>
      <w:r>
        <w:rPr>
          <w:bCs/>
          <w:color w:val="000000"/>
          <w:sz w:val="28"/>
          <w:szCs w:val="28"/>
        </w:rPr>
        <w:t xml:space="preserve">23 228,4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м</w:t>
      </w:r>
      <w:r>
        <w:rPr>
          <w:bCs/>
          <w:color w:val="000000"/>
          <w:sz w:val="28"/>
          <w:szCs w:val="28"/>
          <w:vertAlign w:val="superscript"/>
        </w:rPr>
        <w:t xml:space="preserve">3</w:t>
      </w:r>
      <w:r>
        <w:rPr>
          <w:color w:val="000000"/>
          <w:sz w:val="28"/>
          <w:szCs w:val="28"/>
        </w:rPr>
        <w:t xml:space="preserve"> стічних відходів, з них  РПВ </w:t>
      </w:r>
      <w:r>
        <w:rPr>
          <w:color w:val="000000"/>
          <w:sz w:val="28"/>
          <w:szCs w:val="28"/>
        </w:rPr>
        <w:t xml:space="preserve">4 226,40 м</w:t>
      </w:r>
      <w:r>
        <w:rPr>
          <w:color w:val="000000"/>
          <w:sz w:val="28"/>
          <w:szCs w:val="28"/>
          <w:vertAlign w:val="superscript"/>
        </w:rPr>
        <w:t xml:space="preserve">3</w:t>
      </w:r>
      <w:r>
        <w:rPr>
          <w:color w:val="000000"/>
          <w:sz w:val="28"/>
          <w:szCs w:val="28"/>
        </w:rPr>
        <w:t xml:space="preserve">, 3 055 м</w:t>
      </w:r>
      <w:r>
        <w:rPr>
          <w:color w:val="000000"/>
          <w:sz w:val="28"/>
          <w:szCs w:val="28"/>
          <w:vertAlign w:val="superscript"/>
        </w:rPr>
        <w:t xml:space="preserve">3</w:t>
      </w:r>
      <w:r>
        <w:rPr>
          <w:b/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 xml:space="preserve">від</w:t>
      </w:r>
      <w:r>
        <w:rPr>
          <w:color w:val="000000"/>
          <w:sz w:val="28"/>
          <w:szCs w:val="28"/>
          <w:vertAlign w:val="superscript"/>
        </w:rPr>
        <w:t xml:space="preserve">   </w:t>
      </w:r>
      <w:r>
        <w:rPr>
          <w:color w:val="000000"/>
          <w:sz w:val="28"/>
          <w:szCs w:val="28"/>
        </w:rPr>
        <w:t xml:space="preserve">населення та </w:t>
      </w:r>
      <w:r>
        <w:rPr>
          <w:color w:val="000000"/>
          <w:sz w:val="28"/>
          <w:szCs w:val="28"/>
        </w:rPr>
        <w:t xml:space="preserve">15 947 м</w:t>
      </w:r>
      <w:r>
        <w:rPr>
          <w:color w:val="000000"/>
          <w:sz w:val="28"/>
          <w:szCs w:val="28"/>
          <w:vertAlign w:val="superscript"/>
        </w:rPr>
        <w:t xml:space="preserve">3</w:t>
      </w:r>
      <w:r>
        <w:rPr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 xml:space="preserve">МВК 91 (зменшення в порівнянні з минулим роком на 3817</w:t>
      </w:r>
      <w:r>
        <w:rPr>
          <w:rFonts w:ascii="Times New Roman" w:hAnsi="Times New Roman" w:eastAsia="Times New Roman" w:cs="Times New Roman"/>
          <w:b/>
          <w:color w:val="ff0000"/>
          <w:sz w:val="36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vertAlign w:val="superscript"/>
        </w:rPr>
        <w:t xml:space="preserve">3 </w:t>
      </w:r>
      <w:r>
        <w:rPr>
          <w:color w:val="000000"/>
          <w:sz w:val="28"/>
          <w:szCs w:val="28"/>
        </w:rPr>
        <w:t xml:space="preserve"> приблизно 24%).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pStyle w:val="768"/>
        <w:pBdr/>
        <w:spacing/>
        <w:ind w:right="-144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hanging="20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768"/>
        <w:numPr>
          <w:ilvl w:val="0"/>
          <w:numId w:val="27"/>
        </w:numPr>
        <w:pBdr/>
        <w:spacing/>
        <w:ind w:right="-14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Послуги лазні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 w:hanging="2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ab/>
        <w:t xml:space="preserve">За звітний період 2023 року КП «Менакомунпослуга»  послуги з помиття в приміщення міської лазні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надано послуг -  </w:t>
      </w:r>
      <w:r>
        <w:rPr>
          <w:bCs/>
          <w:color w:val="000000"/>
          <w:sz w:val="28"/>
          <w:szCs w:val="28"/>
        </w:rPr>
        <w:t xml:space="preserve">2 450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особам</w:t>
      </w:r>
      <w:r>
        <w:rPr>
          <w:color w:val="000000"/>
          <w:sz w:val="28"/>
          <w:szCs w:val="28"/>
        </w:rPr>
        <w:t xml:space="preserve">:</w:t>
      </w:r>
      <w:r>
        <w:rPr>
          <w:b/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right="-1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Менська міська лазня потребує капітального ремонту покрівлі, заміни вікон, дверей, улаштування зовнішніх та внутрішніх стін та стель. </w:t>
      </w:r>
      <w:r>
        <w:rPr>
          <w:b/>
          <w:color w:val="000000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Середньооблікова чисельність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працівників</w:t>
      </w:r>
      <w:r>
        <w:rPr>
          <w:color w:val="000000"/>
          <w:sz w:val="28"/>
          <w:szCs w:val="28"/>
        </w:rPr>
        <w:t xml:space="preserve"> по КП «Менакомунпослуга» на початок звітного періоду- </w:t>
      </w:r>
      <w:r>
        <w:rPr>
          <w:color w:val="000000"/>
          <w:sz w:val="28"/>
          <w:szCs w:val="28"/>
        </w:rPr>
        <w:t xml:space="preserve">93</w:t>
      </w:r>
      <w:r>
        <w:rPr>
          <w:color w:val="000000"/>
          <w:sz w:val="28"/>
          <w:szCs w:val="28"/>
        </w:rPr>
        <w:t xml:space="preserve">, на кінець- 93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працівники.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9 працівників </w:t>
      </w:r>
      <w:r>
        <w:rPr>
          <w:color w:val="000000"/>
          <w:sz w:val="28"/>
          <w:szCs w:val="28"/>
        </w:rPr>
        <w:t xml:space="preserve">підприємства</w:t>
      </w:r>
      <w:r>
        <w:rPr>
          <w:color w:val="000000"/>
          <w:sz w:val="28"/>
          <w:szCs w:val="28"/>
        </w:rPr>
        <w:t xml:space="preserve"> відсторонені від роботи в зв’язку з призовом на військову службу під час мобілізації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в т.ч. </w:t>
      </w:r>
      <w:r>
        <w:rPr>
          <w:color w:val="000000"/>
          <w:sz w:val="28"/>
          <w:szCs w:val="28"/>
        </w:rPr>
        <w:t xml:space="preserve">8</w:t>
      </w:r>
      <w:r>
        <w:rPr>
          <w:color w:val="000000"/>
          <w:sz w:val="28"/>
          <w:szCs w:val="28"/>
        </w:rPr>
        <w:t xml:space="preserve"> з</w:t>
      </w:r>
      <w:r>
        <w:rPr>
          <w:color w:val="000000"/>
          <w:sz w:val="28"/>
          <w:szCs w:val="28"/>
        </w:rPr>
        <w:t xml:space="preserve">і служби благоустрою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pacing/>
        <w:ind w:left="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t xml:space="preserve">   </w:t>
      </w:r>
      <w:r>
        <w:t xml:space="preserve">  </w:t>
      </w:r>
      <w:r>
        <w:rPr>
          <w:sz w:val="28"/>
          <w:szCs w:val="28"/>
        </w:rPr>
        <w:t xml:space="preserve">Середня заробітна плата на підприємстві за 2024 р. склала   </w:t>
      </w:r>
      <w:r>
        <w:rPr>
          <w:bCs/>
          <w:sz w:val="28"/>
          <w:szCs w:val="28"/>
        </w:rPr>
        <w:t xml:space="preserve">8043,46  грн</w:t>
      </w:r>
      <w:r>
        <w:rPr>
          <w:sz w:val="28"/>
          <w:szCs w:val="28"/>
        </w:rPr>
        <w:t xml:space="preserve">.,</w:t>
      </w:r>
      <w:r>
        <w:rPr>
          <w:sz w:val="28"/>
          <w:szCs w:val="28"/>
        </w:rPr>
        <w:t xml:space="preserve"> на даний час ця сума прирівнюється до розміру мінімальної заробітної плати </w:t>
      </w:r>
      <w:r>
        <w:rPr>
          <w:sz w:val="28"/>
          <w:szCs w:val="28"/>
        </w:rPr>
        <w:t xml:space="preserve">(</w:t>
      </w:r>
      <w:r>
        <w:rPr>
          <w:bCs/>
          <w:sz w:val="28"/>
          <w:szCs w:val="28"/>
        </w:rPr>
        <w:t xml:space="preserve">8000,00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грн.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  <w:t xml:space="preserve"> З 01.01.2024року мінімальна заробітна плата </w:t>
      </w:r>
      <w:r>
        <w:rPr>
          <w:bCs/>
          <w:sz w:val="28"/>
          <w:szCs w:val="28"/>
        </w:rPr>
        <w:t xml:space="preserve">7100 грн., з 01.04.2024р. мінімальна заробітна плата становить 8000,00 грн.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нашому підприємстві майже мінімальну заробітну плату</w:t>
      </w:r>
      <w:r>
        <w:rPr>
          <w:sz w:val="28"/>
          <w:szCs w:val="28"/>
        </w:rPr>
        <w:t xml:space="preserve"> отримують кваліфіковані працівники з великим досвідом</w:t>
      </w:r>
      <w:r>
        <w:rPr>
          <w:sz w:val="28"/>
          <w:szCs w:val="28"/>
        </w:rPr>
        <w:t xml:space="preserve"> роботи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фахівці з вищою освітою, на даний час не вистачає спеціалістів бо вони не хочуть працювати за малу заробітну плату тому це суттєво впливає на якість та кількість наданих послуг.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8"/>
        <w:pBdr/>
        <w:shd w:val="clear" w:color="auto" w:fill="ffffff"/>
        <w:spacing/>
        <w:ind w:right="9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Для забезпечення повноцінного та ефективного функціонування роботи </w:t>
        <w:br w:type="textWrapping" w:clear="all"/>
        <w:t xml:space="preserve">КП «Менакомунпослуга» </w:t>
      </w:r>
      <w:r>
        <w:rPr>
          <w:sz w:val="28"/>
          <w:szCs w:val="28"/>
        </w:rPr>
        <w:t xml:space="preserve">виник</w:t>
      </w:r>
      <w:r>
        <w:rPr>
          <w:sz w:val="28"/>
          <w:szCs w:val="28"/>
        </w:rPr>
        <w:t xml:space="preserve">ає</w:t>
      </w:r>
      <w:r>
        <w:rPr>
          <w:sz w:val="28"/>
          <w:szCs w:val="28"/>
        </w:rPr>
        <w:t xml:space="preserve"> гостра потреба в оновленні та збільшенні технічного парку підприємства</w:t>
      </w:r>
      <w:r>
        <w:rPr>
          <w:sz w:val="28"/>
          <w:szCs w:val="28"/>
        </w:rPr>
        <w:t xml:space="preserve"> у придбанні: бензопил, засобів малої механізації та навісного обладнання.</w:t>
        <w:br w:type="textWrapping" w:clear="all"/>
      </w: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Необхідна потреба у придбанні спеціального транспорту:</w:t>
        <w:br w:type="textWrapping" w:clear="all"/>
        <w:t xml:space="preserve">     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автовишк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АП-22;</w:t>
        <w:br w:type="textWrapping" w:clear="all"/>
      </w:r>
      <w:r>
        <w:rPr>
          <w:sz w:val="28"/>
          <w:szCs w:val="28"/>
        </w:rPr>
        <w:t xml:space="preserve">     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асенізаційн</w:t>
      </w:r>
      <w:r>
        <w:rPr>
          <w:sz w:val="28"/>
          <w:szCs w:val="28"/>
        </w:rPr>
        <w:t xml:space="preserve">ий автомобіль </w:t>
      </w:r>
      <w:r>
        <w:rPr>
          <w:sz w:val="28"/>
          <w:szCs w:val="28"/>
          <w:lang w:val="en-US"/>
        </w:rPr>
        <w:t xml:space="preserve">V</w:t>
      </w:r>
      <w:r>
        <w:rPr>
          <w:sz w:val="28"/>
          <w:szCs w:val="28"/>
        </w:rPr>
        <w:t xml:space="preserve">- 5</w:t>
      </w:r>
      <w:r>
        <w:rPr>
          <w:sz w:val="28"/>
          <w:szCs w:val="28"/>
        </w:rPr>
        <w:t xml:space="preserve">м3:                                                                                                                              .    -    бульдозер гусеничний середньої потужності 100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KW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07"/>
        <w:numPr>
          <w:ilvl w:val="0"/>
          <w:numId w:val="25"/>
        </w:numPr>
        <w:pBdr/>
        <w:shd w:val="clear" w:color="auto" w:fill="ffffff"/>
        <w:spacing/>
        <w:ind w:right="96"/>
        <w:rPr>
          <w:sz w:val="28"/>
          <w:szCs w:val="28"/>
        </w:rPr>
      </w:pPr>
      <w:r>
        <w:rPr>
          <w:sz w:val="28"/>
          <w:szCs w:val="28"/>
        </w:rPr>
        <w:t xml:space="preserve">розкидач піщано-сольової суміші МВУ-5</w:t>
      </w:r>
      <w:r>
        <w:rPr>
          <w:sz w:val="28"/>
          <w:szCs w:val="28"/>
        </w:rPr>
        <w:t xml:space="preserve">.</w:t>
        <w:br w:type="textWrapping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07"/>
        <w:pBdr/>
        <w:shd w:val="clear" w:color="auto" w:fill="ffffff"/>
        <w:spacing/>
        <w:ind w:right="96" w:left="705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79"/>
        <w:pBdr/>
        <w:shd w:val="clear" w:color="auto" w:fill="ffffff"/>
        <w:spacing/>
        <w:ind w:right="9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7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Директор КП «Менакомунпослуга»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7"/>
        <w:pBdr/>
        <w:spacing/>
        <w:ind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  <w:tab/>
        <w:t xml:space="preserve">                                                    Олександр </w:t>
      </w:r>
      <w:r>
        <w:rPr>
          <w:sz w:val="28"/>
          <w:szCs w:val="28"/>
          <w:lang w:val="uk-UA"/>
        </w:rPr>
        <w:t xml:space="preserve">МАНЖУЛА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Courier New">
    <w:panose1 w:val="020703090202050204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7"/>
      <w:pBdr/>
      <w:spacing/>
      <w:ind/>
      <w:jc w:val="right"/>
      <w:rPr/>
    </w:pPr>
    <w:r>
      <w:t xml:space="preserve">                               </w:t>
    </w:r>
    <w:r>
      <w:fldChar w:fldCharType="begin"/>
    </w:r>
    <w:r>
      <w:instrText xml:space="preserve">PAGE   \* MERGEFORMAT</w:instrText>
    </w:r>
    <w:r>
      <w:fldChar w:fldCharType="separate"/>
    </w:r>
    <w:r>
      <w:t xml:space="preserve">4</w:t>
    </w:r>
    <w:r>
      <w:fldChar w:fldCharType="end"/>
    </w:r>
    <w:r>
      <w:t xml:space="preserve">                                                                продовження додатка</w:t>
    </w:r>
    <w:r/>
  </w:p>
  <w:p>
    <w:pPr>
      <w:pStyle w:val="81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845"/>
        </w:tabs>
        <w:spacing/>
        <w:ind w:hanging="360" w:left="184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565"/>
        </w:tabs>
        <w:spacing/>
        <w:ind w:hanging="360" w:left="256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285"/>
        </w:tabs>
        <w:spacing/>
        <w:ind w:hanging="180" w:left="328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4005"/>
        </w:tabs>
        <w:spacing/>
        <w:ind w:hanging="360" w:left="400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4725"/>
        </w:tabs>
        <w:spacing/>
        <w:ind w:hanging="360" w:left="472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445"/>
        </w:tabs>
        <w:spacing/>
        <w:ind w:hanging="180" w:left="544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165"/>
        </w:tabs>
        <w:spacing/>
        <w:ind w:hanging="360" w:left="616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885"/>
        </w:tabs>
        <w:spacing/>
        <w:ind w:hanging="360" w:left="688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605"/>
        </w:tabs>
        <w:spacing/>
        <w:ind w:hanging="180" w:left="7605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200"/>
        </w:tabs>
        <w:spacing/>
        <w:ind w:hanging="360" w:left="720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  <w:b w:val="0"/>
        <w:u w:val="no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*"/>
      <w:numFmt w:val="bullet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05"/>
      </w:pPr>
      <w:rPr>
        <w:rFonts w:ascii="Times New Roman" w:hAnsi="Times New Roman" w:eastAsia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4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6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0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2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65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267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49"/>
        </w:tabs>
        <w:spacing/>
        <w:ind w:hanging="360" w:left="214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69"/>
        </w:tabs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589"/>
        </w:tabs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09"/>
        </w:tabs>
        <w:spacing/>
        <w:ind w:hanging="360" w:left="430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29"/>
        </w:tabs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49"/>
        </w:tabs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69"/>
        </w:tabs>
        <w:spacing/>
        <w:ind w:hanging="360" w:left="646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189"/>
        </w:tabs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600"/>
        </w:tabs>
        <w:spacing/>
        <w:ind w:hanging="180" w:left="36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760"/>
        </w:tabs>
        <w:spacing/>
        <w:ind w:hanging="180" w:left="57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7200"/>
        </w:tabs>
        <w:spacing/>
        <w:ind w:hanging="360" w:left="72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920"/>
        </w:tabs>
        <w:spacing/>
        <w:ind w:hanging="180" w:left="7920"/>
      </w:pPr>
      <w:rPr/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1429"/>
        </w:tabs>
        <w:spacing/>
        <w:ind w:hanging="360" w:left="1429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149"/>
        </w:tabs>
        <w:spacing/>
        <w:ind w:hanging="360" w:left="2149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869"/>
        </w:tabs>
        <w:spacing/>
        <w:ind w:hanging="360" w:left="2869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589"/>
        </w:tabs>
        <w:spacing/>
        <w:ind w:hanging="360" w:left="3589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309"/>
        </w:tabs>
        <w:spacing/>
        <w:ind w:hanging="360" w:left="4309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029"/>
        </w:tabs>
        <w:spacing/>
        <w:ind w:hanging="360" w:left="5029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749"/>
        </w:tabs>
        <w:spacing/>
        <w:ind w:hanging="360" w:left="5749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469"/>
        </w:tabs>
        <w:spacing/>
        <w:ind w:hanging="360" w:left="6469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189"/>
        </w:tabs>
        <w:spacing/>
        <w:ind w:hanging="360" w:left="7189"/>
      </w:pPr>
      <w:rPr>
        <w:rFonts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tabs>
          <w:tab w:val="num" w:leader="none" w:pos="1776"/>
        </w:tabs>
        <w:spacing/>
        <w:ind w:hanging="360" w:left="17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2496"/>
        </w:tabs>
        <w:spacing/>
        <w:ind w:hanging="360" w:left="24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3216"/>
        </w:tabs>
        <w:spacing/>
        <w:ind w:hanging="180" w:left="32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936"/>
        </w:tabs>
        <w:spacing/>
        <w:ind w:hanging="360" w:left="39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4656"/>
        </w:tabs>
        <w:spacing/>
        <w:ind w:hanging="360" w:left="46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5376"/>
        </w:tabs>
        <w:spacing/>
        <w:ind w:hanging="180" w:left="53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6096"/>
        </w:tabs>
        <w:spacing/>
        <w:ind w:hanging="360" w:left="60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816"/>
        </w:tabs>
        <w:spacing/>
        <w:ind w:hanging="360" w:left="68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7536"/>
        </w:tabs>
        <w:spacing/>
        <w:ind w:hanging="180" w:left="7536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267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tabs>
          <w:tab w:val="num" w:leader="none" w:pos="1636"/>
        </w:tabs>
        <w:spacing/>
        <w:ind w:hanging="360" w:left="1636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340"/>
        </w:tabs>
        <w:spacing/>
        <w:ind w:hanging="360" w:left="23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060"/>
        </w:tabs>
        <w:spacing/>
        <w:ind w:hanging="360" w:left="30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780"/>
        </w:tabs>
        <w:spacing/>
        <w:ind w:hanging="360" w:left="37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500"/>
        </w:tabs>
        <w:spacing/>
        <w:ind w:hanging="360" w:left="45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220"/>
        </w:tabs>
        <w:spacing/>
        <w:ind w:hanging="360" w:left="52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940"/>
        </w:tabs>
        <w:spacing/>
        <w:ind w:hanging="360" w:left="59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660"/>
        </w:tabs>
        <w:spacing/>
        <w:ind w:hanging="360" w:left="66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380"/>
        </w:tabs>
        <w:spacing/>
        <w:ind w:hanging="360" w:left="7380"/>
      </w:pPr>
      <w:rPr>
        <w:rFonts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2674"/>
      </w:pPr>
      <w:rPr>
        <w:b/>
      </w:rPr>
      <w:start w:val="5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339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411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483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555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627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699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771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8434"/>
      </w:pPr>
      <w:rPr/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840"/>
        </w:tabs>
        <w:spacing/>
        <w:ind w:hanging="360" w:left="684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560"/>
        </w:tabs>
        <w:spacing/>
        <w:ind w:hanging="360" w:left="7560"/>
      </w:pPr>
      <w:rPr>
        <w:rFonts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tabs>
          <w:tab w:val="num" w:leader="none" w:pos="1725"/>
        </w:tabs>
        <w:spacing/>
        <w:ind w:hanging="360" w:left="172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445"/>
        </w:tabs>
        <w:spacing/>
        <w:ind w:hanging="360" w:left="244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3165"/>
        </w:tabs>
        <w:spacing/>
        <w:ind w:hanging="360" w:left="316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885"/>
        </w:tabs>
        <w:spacing/>
        <w:ind w:hanging="360" w:left="388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605"/>
        </w:tabs>
        <w:spacing/>
        <w:ind w:hanging="360" w:left="460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5325"/>
        </w:tabs>
        <w:spacing/>
        <w:ind w:hanging="360" w:left="532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6045"/>
        </w:tabs>
        <w:spacing/>
        <w:ind w:hanging="360" w:left="604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765"/>
        </w:tabs>
        <w:spacing/>
        <w:ind w:hanging="360" w:left="676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485"/>
        </w:tabs>
        <w:spacing/>
        <w:ind w:hanging="360" w:left="7485"/>
      </w:pPr>
      <w:rPr>
        <w:rFonts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-"/>
      <w:numFmt w:val="bullet"/>
      <w:pPr>
        <w:pBdr/>
        <w:spacing/>
        <w:ind w:hanging="360" w:left="705"/>
      </w:pPr>
      <w:rPr>
        <w:rFonts w:ascii="Times New Roman" w:hAnsi="Times New Roman" w:eastAsia="Times New Roman" w:cs="Times New Roman"/>
      </w:rPr>
      <w:start w:val="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4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6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0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2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65"/>
      </w:pPr>
      <w:rPr>
        <w:rFonts w:ascii="Wingdings" w:hAnsi="Wingdings"/>
      </w:rPr>
      <w:start w:val="1"/>
      <w:suff w:val="tab"/>
    </w:lvl>
  </w:abstractNum>
  <w:num w:numId="1">
    <w:abstractNumId w:val="8"/>
    <w:lvlOverride w:ilvl="0">
      <w:lvl w:ilvl="0">
        <w:isLgl w:val="false"/>
        <w:legacy w:legacy="true" w:legacyIndent="0" w:legacySpace="0"/>
        <w:lvlJc w:val="left"/>
        <w:lvlText w:val="-"/>
        <w:numFmt w:val="bullet"/>
        <w:pPr>
          <w:pBdr/>
          <w:spacing/>
          <w:ind/>
        </w:pPr>
        <w:rPr>
          <w:rFonts w:ascii="Times New Roman" w:hAnsi="Times New Roman"/>
        </w:rPr>
        <w:start w:val="1"/>
        <w:suff w:val="tab"/>
      </w:lvl>
    </w:lvlOverride>
  </w:num>
  <w:num w:numId="2">
    <w:abstractNumId w:val="19"/>
  </w:num>
  <w:num w:numId="3">
    <w:abstractNumId w:val="1"/>
  </w:num>
  <w:num w:numId="4">
    <w:abstractNumId w:val="18"/>
  </w:num>
  <w:num w:numId="5">
    <w:abstractNumId w:val="13"/>
  </w:num>
  <w:num w:numId="6">
    <w:abstractNumId w:val="25"/>
  </w:num>
  <w:num w:numId="7">
    <w:abstractNumId w:val="2"/>
  </w:num>
  <w:num w:numId="8">
    <w:abstractNumId w:val="7"/>
  </w:num>
  <w:num w:numId="9">
    <w:abstractNumId w:val="11"/>
  </w:num>
  <w:num w:numId="10">
    <w:abstractNumId w:val="10"/>
  </w:num>
  <w:num w:numId="11">
    <w:abstractNumId w:val="14"/>
  </w:num>
  <w:num w:numId="12">
    <w:abstractNumId w:val="24"/>
  </w:num>
  <w:num w:numId="13">
    <w:abstractNumId w:val="22"/>
  </w:num>
  <w:num w:numId="14">
    <w:abstractNumId w:val="4"/>
  </w:num>
  <w:num w:numId="15">
    <w:abstractNumId w:val="21"/>
  </w:num>
  <w:num w:numId="16">
    <w:abstractNumId w:val="3"/>
  </w:num>
  <w:num w:numId="17">
    <w:abstractNumId w:val="6"/>
  </w:num>
  <w:num w:numId="18">
    <w:abstractNumId w:val="17"/>
  </w:num>
  <w:num w:numId="19">
    <w:abstractNumId w:val="5"/>
  </w:num>
  <w:num w:numId="20">
    <w:abstractNumId w:val="15"/>
  </w:num>
  <w:num w:numId="21">
    <w:abstractNumId w:val="12"/>
  </w:num>
  <w:num w:numId="22">
    <w:abstractNumId w:val="9"/>
  </w:num>
  <w:num w:numId="23">
    <w:abstractNumId w:val="0"/>
  </w:num>
  <w:num w:numId="24">
    <w:abstractNumId w:val="20"/>
  </w:num>
  <w:num w:numId="25">
    <w:abstractNumId w:val="26"/>
  </w:num>
  <w:num w:numId="26">
    <w:abstractNumId w:val="23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Table Grid"/>
    <w:basedOn w:val="7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paragraph" w:styleId="744">
    <w:name w:val="Title"/>
    <w:basedOn w:val="768"/>
    <w:next w:val="768"/>
    <w:link w:val="78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5">
    <w:name w:val="Subtitle"/>
    <w:basedOn w:val="768"/>
    <w:next w:val="768"/>
    <w:link w:val="78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46">
    <w:name w:val="Quote"/>
    <w:basedOn w:val="768"/>
    <w:next w:val="768"/>
    <w:link w:val="78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47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48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49">
    <w:name w:val="Intense Quote"/>
    <w:basedOn w:val="768"/>
    <w:next w:val="768"/>
    <w:link w:val="78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50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51">
    <w:name w:val="No Spacing"/>
    <w:basedOn w:val="768"/>
    <w:uiPriority w:val="1"/>
    <w:qFormat/>
    <w:pPr>
      <w:pBdr/>
      <w:spacing w:after="0" w:line="240" w:lineRule="auto"/>
      <w:ind/>
    </w:pPr>
  </w:style>
  <w:style w:type="character" w:styleId="752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3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754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755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6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7">
    <w:name w:val="Header"/>
    <w:basedOn w:val="768"/>
    <w:link w:val="78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8">
    <w:name w:val="Footer"/>
    <w:basedOn w:val="768"/>
    <w:link w:val="82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0">
    <w:name w:val="footnote text"/>
    <w:basedOn w:val="768"/>
    <w:link w:val="7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1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762">
    <w:name w:val="endnote text"/>
    <w:basedOn w:val="768"/>
    <w:link w:val="7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63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64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5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>
    <w:name w:val="TOC Heading"/>
    <w:uiPriority w:val="39"/>
    <w:unhideWhenUsed/>
    <w:pPr>
      <w:pBdr/>
      <w:spacing/>
      <w:ind/>
    </w:pPr>
  </w:style>
  <w:style w:type="paragraph" w:styleId="76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next w:val="768"/>
    <w:link w:val="768"/>
    <w:qFormat/>
    <w:pPr>
      <w:pBdr/>
      <w:spacing/>
      <w:ind/>
    </w:pPr>
    <w:rPr>
      <w:lang w:val="uk-UA" w:eastAsia="zh-CN" w:bidi="ar-SA"/>
    </w:rPr>
  </w:style>
  <w:style w:type="character" w:styleId="769">
    <w:name w:val="Основной шрифт абзаца"/>
    <w:next w:val="769"/>
    <w:link w:val="768"/>
    <w:uiPriority w:val="1"/>
    <w:semiHidden/>
    <w:unhideWhenUsed/>
    <w:pPr>
      <w:pBdr/>
      <w:spacing/>
      <w:ind/>
    </w:pPr>
  </w:style>
  <w:style w:type="table" w:styleId="770">
    <w:name w:val="Обычная таблица"/>
    <w:next w:val="770"/>
    <w:link w:val="768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1">
    <w:name w:val="Нет списка"/>
    <w:next w:val="771"/>
    <w:link w:val="768"/>
    <w:uiPriority w:val="99"/>
    <w:semiHidden/>
    <w:unhideWhenUsed/>
    <w:pPr>
      <w:pBdr/>
      <w:spacing/>
      <w:ind/>
    </w:pPr>
  </w:style>
  <w:style w:type="character" w:styleId="772">
    <w:name w:val="Heading 1 Char"/>
    <w:basedOn w:val="769"/>
    <w:next w:val="772"/>
    <w:link w:val="78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73">
    <w:name w:val="Heading 2 Char"/>
    <w:basedOn w:val="769"/>
    <w:next w:val="773"/>
    <w:link w:val="79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74">
    <w:name w:val="Heading 3 Char"/>
    <w:basedOn w:val="769"/>
    <w:next w:val="774"/>
    <w:link w:val="79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75">
    <w:name w:val="Heading 4 Char"/>
    <w:basedOn w:val="769"/>
    <w:next w:val="775"/>
    <w:link w:val="79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76">
    <w:name w:val="Heading 5 Char"/>
    <w:basedOn w:val="769"/>
    <w:next w:val="776"/>
    <w:link w:val="79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77">
    <w:name w:val="Heading 6 Char"/>
    <w:basedOn w:val="769"/>
    <w:next w:val="777"/>
    <w:link w:val="79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78">
    <w:name w:val="Heading 7 Char"/>
    <w:basedOn w:val="769"/>
    <w:next w:val="778"/>
    <w:link w:val="7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9">
    <w:name w:val="Heading 8 Char"/>
    <w:basedOn w:val="769"/>
    <w:next w:val="779"/>
    <w:link w:val="79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0">
    <w:name w:val="Heading 9 Char"/>
    <w:basedOn w:val="769"/>
    <w:next w:val="780"/>
    <w:link w:val="79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1">
    <w:name w:val="Title Char"/>
    <w:basedOn w:val="769"/>
    <w:next w:val="781"/>
    <w:link w:val="809"/>
    <w:uiPriority w:val="10"/>
    <w:pPr>
      <w:pBdr/>
      <w:spacing/>
      <w:ind/>
    </w:pPr>
    <w:rPr>
      <w:sz w:val="48"/>
      <w:szCs w:val="48"/>
    </w:rPr>
  </w:style>
  <w:style w:type="character" w:styleId="782">
    <w:name w:val="Subtitle Char"/>
    <w:basedOn w:val="769"/>
    <w:next w:val="782"/>
    <w:link w:val="811"/>
    <w:uiPriority w:val="11"/>
    <w:pPr>
      <w:pBdr/>
      <w:spacing/>
      <w:ind/>
    </w:pPr>
    <w:rPr>
      <w:sz w:val="24"/>
      <w:szCs w:val="24"/>
    </w:rPr>
  </w:style>
  <w:style w:type="character" w:styleId="783">
    <w:name w:val="Quote Char"/>
    <w:next w:val="783"/>
    <w:link w:val="768"/>
    <w:uiPriority w:val="29"/>
    <w:pPr>
      <w:pBdr/>
      <w:spacing/>
      <w:ind/>
    </w:pPr>
    <w:rPr>
      <w:i/>
    </w:rPr>
  </w:style>
  <w:style w:type="character" w:styleId="784">
    <w:name w:val="Intense Quote Char"/>
    <w:next w:val="784"/>
    <w:link w:val="768"/>
    <w:uiPriority w:val="30"/>
    <w:pPr>
      <w:pBdr/>
      <w:spacing/>
      <w:ind/>
    </w:pPr>
    <w:rPr>
      <w:i/>
    </w:rPr>
  </w:style>
  <w:style w:type="character" w:styleId="785">
    <w:name w:val="Header Char"/>
    <w:basedOn w:val="769"/>
    <w:next w:val="785"/>
    <w:link w:val="817"/>
    <w:uiPriority w:val="99"/>
    <w:pPr>
      <w:pBdr/>
      <w:spacing/>
      <w:ind/>
    </w:pPr>
  </w:style>
  <w:style w:type="character" w:styleId="786">
    <w:name w:val="Caption Char"/>
    <w:next w:val="786"/>
    <w:link w:val="768"/>
    <w:uiPriority w:val="99"/>
    <w:pPr>
      <w:pBdr/>
      <w:spacing/>
      <w:ind/>
    </w:pPr>
  </w:style>
  <w:style w:type="character" w:styleId="787">
    <w:name w:val="Footnote Text Char"/>
    <w:next w:val="787"/>
    <w:link w:val="768"/>
    <w:uiPriority w:val="99"/>
    <w:pPr>
      <w:pBdr/>
      <w:spacing/>
      <w:ind/>
    </w:pPr>
    <w:rPr>
      <w:sz w:val="18"/>
    </w:rPr>
  </w:style>
  <w:style w:type="character" w:styleId="788">
    <w:name w:val="Endnote Text Char"/>
    <w:next w:val="788"/>
    <w:link w:val="768"/>
    <w:uiPriority w:val="99"/>
    <w:pPr>
      <w:pBdr/>
      <w:spacing/>
      <w:ind/>
    </w:pPr>
    <w:rPr>
      <w:sz w:val="20"/>
    </w:rPr>
  </w:style>
  <w:style w:type="paragraph" w:styleId="789">
    <w:name w:val="Heading 1"/>
    <w:next w:val="789"/>
    <w:link w:val="798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790">
    <w:name w:val="Heading 2"/>
    <w:next w:val="790"/>
    <w:link w:val="799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791">
    <w:name w:val="Heading 3"/>
    <w:next w:val="791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792">
    <w:name w:val="Heading 4"/>
    <w:next w:val="792"/>
    <w:link w:val="80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793">
    <w:name w:val="Heading 5"/>
    <w:next w:val="793"/>
    <w:link w:val="80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794">
    <w:name w:val="Heading 6"/>
    <w:next w:val="794"/>
    <w:link w:val="80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795">
    <w:name w:val="Heading 7"/>
    <w:next w:val="795"/>
    <w:link w:val="80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96">
    <w:name w:val="Heading 8"/>
    <w:next w:val="796"/>
    <w:link w:val="80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797">
    <w:name w:val="Heading 9"/>
    <w:next w:val="797"/>
    <w:link w:val="806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98">
    <w:name w:val="Заголовок 1 Знак"/>
    <w:next w:val="798"/>
    <w:link w:val="789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99">
    <w:name w:val="Заголовок 2 Знак"/>
    <w:next w:val="799"/>
    <w:link w:val="790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00">
    <w:name w:val="Заголовок 3 Знак"/>
    <w:next w:val="800"/>
    <w:link w:val="791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01">
    <w:name w:val="Заголовок 4 Знак"/>
    <w:next w:val="801"/>
    <w:link w:val="792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02">
    <w:name w:val="Заголовок 5 Знак"/>
    <w:next w:val="802"/>
    <w:link w:val="793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03">
    <w:name w:val="Заголовок 6 Знак"/>
    <w:next w:val="803"/>
    <w:link w:val="794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04">
    <w:name w:val="Заголовок 7 Знак"/>
    <w:next w:val="804"/>
    <w:link w:val="795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5">
    <w:name w:val="Заголовок 8 Знак"/>
    <w:next w:val="805"/>
    <w:link w:val="796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06">
    <w:name w:val="Заголовок 9 Знак"/>
    <w:next w:val="806"/>
    <w:link w:val="797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07">
    <w:name w:val="Абзац списка"/>
    <w:next w:val="807"/>
    <w:link w:val="768"/>
    <w:uiPriority w:val="99"/>
    <w:qFormat/>
    <w:pPr>
      <w:pBdr/>
      <w:spacing/>
      <w:ind w:left="720"/>
      <w:contextualSpacing w:val="true"/>
    </w:pPr>
    <w:rPr>
      <w:lang w:val="uk-UA" w:eastAsia="zh-CN" w:bidi="ar-SA"/>
    </w:rPr>
  </w:style>
  <w:style w:type="paragraph" w:styleId="808">
    <w:name w:val="Без интервала"/>
    <w:next w:val="808"/>
    <w:link w:val="768"/>
    <w:uiPriority w:val="1"/>
    <w:qFormat/>
    <w:pPr>
      <w:pBdr/>
      <w:spacing/>
      <w:ind/>
    </w:pPr>
    <w:rPr>
      <w:lang w:val="uk-UA" w:eastAsia="zh-CN" w:bidi="ar-SA"/>
    </w:rPr>
  </w:style>
  <w:style w:type="paragraph" w:styleId="809">
    <w:name w:val="Название"/>
    <w:next w:val="809"/>
    <w:link w:val="810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810">
    <w:name w:val="Название Знак"/>
    <w:next w:val="810"/>
    <w:link w:val="809"/>
    <w:uiPriority w:val="10"/>
    <w:pPr>
      <w:pBdr/>
      <w:spacing/>
      <w:ind/>
    </w:pPr>
    <w:rPr>
      <w:sz w:val="48"/>
      <w:szCs w:val="48"/>
      <w:lang w:bidi="ar-SA"/>
    </w:rPr>
  </w:style>
  <w:style w:type="paragraph" w:styleId="811">
    <w:name w:val="Подзаголовок"/>
    <w:next w:val="811"/>
    <w:link w:val="812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812">
    <w:name w:val="Подзаголовок Знак"/>
    <w:next w:val="812"/>
    <w:link w:val="811"/>
    <w:uiPriority w:val="11"/>
    <w:pPr>
      <w:pBdr/>
      <w:spacing/>
      <w:ind/>
    </w:pPr>
    <w:rPr>
      <w:sz w:val="24"/>
      <w:szCs w:val="24"/>
      <w:lang w:bidi="ar-SA"/>
    </w:rPr>
  </w:style>
  <w:style w:type="paragraph" w:styleId="813">
    <w:name w:val="Цитата 2"/>
    <w:next w:val="813"/>
    <w:link w:val="814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14">
    <w:name w:val="Цитата 2 Знак"/>
    <w:next w:val="814"/>
    <w:link w:val="813"/>
    <w:uiPriority w:val="29"/>
    <w:pPr>
      <w:pBdr/>
      <w:spacing/>
      <w:ind/>
    </w:pPr>
    <w:rPr>
      <w:i/>
      <w:lang w:val="uk-UA" w:eastAsia="uk-UA" w:bidi="ar-SA"/>
    </w:rPr>
  </w:style>
  <w:style w:type="paragraph" w:styleId="815">
    <w:name w:val="Выделенная цитата"/>
    <w:next w:val="815"/>
    <w:link w:val="81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16">
    <w:name w:val="Выделенная цитата Знак"/>
    <w:next w:val="816"/>
    <w:link w:val="81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paragraph" w:styleId="817">
    <w:name w:val="Header1"/>
    <w:next w:val="817"/>
    <w:link w:val="81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18">
    <w:name w:val="Верхній колонтитул Знак"/>
    <w:next w:val="818"/>
    <w:link w:val="817"/>
    <w:uiPriority w:val="99"/>
    <w:pPr>
      <w:pBdr/>
      <w:spacing/>
      <w:ind/>
    </w:pPr>
    <w:rPr>
      <w:lang w:val="uk-UA" w:eastAsia="zh-CN" w:bidi="ar-SA"/>
    </w:rPr>
  </w:style>
  <w:style w:type="paragraph" w:styleId="819">
    <w:name w:val="Footer1"/>
    <w:next w:val="819"/>
    <w:link w:val="822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uk-UA" w:eastAsia="zh-CN" w:bidi="ar-SA"/>
    </w:rPr>
  </w:style>
  <w:style w:type="character" w:styleId="820">
    <w:name w:val="Footer Char"/>
    <w:next w:val="820"/>
    <w:link w:val="768"/>
    <w:uiPriority w:val="99"/>
    <w:pPr>
      <w:pBdr/>
      <w:spacing/>
      <w:ind/>
    </w:pPr>
  </w:style>
  <w:style w:type="paragraph" w:styleId="821">
    <w:name w:val="Caption1"/>
    <w:next w:val="821"/>
    <w:link w:val="76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uk-UA" w:eastAsia="zh-CN" w:bidi="ar-SA"/>
    </w:rPr>
  </w:style>
  <w:style w:type="character" w:styleId="822">
    <w:name w:val="Нижній колонтитул Знак"/>
    <w:next w:val="822"/>
    <w:link w:val="819"/>
    <w:uiPriority w:val="99"/>
    <w:pPr>
      <w:pBdr/>
      <w:spacing/>
      <w:ind/>
    </w:pPr>
    <w:rPr>
      <w:lang w:val="uk-UA" w:eastAsia="zh-CN" w:bidi="ar-SA"/>
    </w:rPr>
  </w:style>
  <w:style w:type="table" w:styleId="823">
    <w:name w:val="Сетка таблицы"/>
    <w:next w:val="823"/>
    <w:link w:val="768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Table Grid Light"/>
    <w:next w:val="824"/>
    <w:link w:val="768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1"/>
    <w:next w:val="825"/>
    <w:link w:val="768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Plain Table 2"/>
    <w:next w:val="826"/>
    <w:link w:val="768"/>
    <w:uiPriority w:val="59"/>
    <w:pPr>
      <w:pBdr/>
      <w:spacing/>
      <w:ind/>
    </w:pPr>
    <w:rPr>
      <w:lang w:val="uk-UA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Plain Table 3"/>
    <w:next w:val="82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Plain Table 4"/>
    <w:next w:val="82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Plain Table 5"/>
    <w:next w:val="82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"/>
    <w:next w:val="83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1"/>
    <w:next w:val="83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2"/>
    <w:next w:val="83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3"/>
    <w:next w:val="83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4"/>
    <w:next w:val="83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5"/>
    <w:next w:val="83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6"/>
    <w:next w:val="83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"/>
    <w:next w:val="83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1"/>
    <w:next w:val="83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2"/>
    <w:next w:val="83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3"/>
    <w:next w:val="84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4"/>
    <w:next w:val="84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5"/>
    <w:next w:val="84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6"/>
    <w:next w:val="84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"/>
    <w:next w:val="84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1"/>
    <w:next w:val="84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2"/>
    <w:next w:val="84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3"/>
    <w:next w:val="84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4"/>
    <w:next w:val="84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5"/>
    <w:next w:val="84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6"/>
    <w:next w:val="85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"/>
    <w:next w:val="851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1"/>
    <w:next w:val="852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2"/>
    <w:next w:val="853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3"/>
    <w:next w:val="854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4"/>
    <w:next w:val="855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5"/>
    <w:next w:val="856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6"/>
    <w:next w:val="857"/>
    <w:link w:val="768"/>
    <w:uiPriority w:val="5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"/>
    <w:next w:val="85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- Accent 1"/>
    <w:next w:val="85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 - Accent 2"/>
    <w:next w:val="86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3"/>
    <w:next w:val="86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- Accent 4"/>
    <w:next w:val="86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 - Accent 5"/>
    <w:next w:val="86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6"/>
    <w:next w:val="86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"/>
    <w:next w:val="86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1"/>
    <w:next w:val="86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2"/>
    <w:next w:val="86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3"/>
    <w:next w:val="86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4"/>
    <w:next w:val="86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5"/>
    <w:next w:val="87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6"/>
    <w:next w:val="87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"/>
    <w:next w:val="87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1"/>
    <w:next w:val="87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2"/>
    <w:next w:val="87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3"/>
    <w:next w:val="87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4"/>
    <w:next w:val="87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5"/>
    <w:next w:val="87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6"/>
    <w:next w:val="87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"/>
    <w:next w:val="87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1"/>
    <w:next w:val="88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2"/>
    <w:next w:val="88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3"/>
    <w:next w:val="88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4"/>
    <w:next w:val="88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 - Accent 5"/>
    <w:next w:val="88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6"/>
    <w:next w:val="88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"/>
    <w:next w:val="88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1"/>
    <w:next w:val="88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2"/>
    <w:next w:val="88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3"/>
    <w:next w:val="88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2 - Accent 4"/>
    <w:next w:val="89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 - Accent 5"/>
    <w:next w:val="89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6"/>
    <w:next w:val="89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"/>
    <w:next w:val="89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1"/>
    <w:next w:val="89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2"/>
    <w:next w:val="89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3 - Accent 3"/>
    <w:next w:val="89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3 - Accent 4"/>
    <w:next w:val="89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5"/>
    <w:next w:val="89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6"/>
    <w:next w:val="89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"/>
    <w:next w:val="90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1"/>
    <w:next w:val="90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2"/>
    <w:next w:val="90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4 - Accent 3"/>
    <w:next w:val="90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4"/>
    <w:next w:val="90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5"/>
    <w:next w:val="90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6"/>
    <w:next w:val="90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"/>
    <w:next w:val="90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1"/>
    <w:next w:val="90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2"/>
    <w:next w:val="90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3"/>
    <w:next w:val="91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4"/>
    <w:next w:val="91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5"/>
    <w:next w:val="91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6"/>
    <w:next w:val="91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"/>
    <w:next w:val="91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1"/>
    <w:next w:val="91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2"/>
    <w:next w:val="91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3"/>
    <w:next w:val="91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4"/>
    <w:next w:val="91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5"/>
    <w:next w:val="919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6"/>
    <w:next w:val="920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"/>
    <w:next w:val="921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1"/>
    <w:next w:val="92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2"/>
    <w:next w:val="92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3"/>
    <w:next w:val="92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4"/>
    <w:next w:val="92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5"/>
    <w:next w:val="92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6"/>
    <w:next w:val="92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"/>
    <w:next w:val="928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1"/>
    <w:next w:val="929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2"/>
    <w:next w:val="930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3"/>
    <w:next w:val="931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4"/>
    <w:next w:val="932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5"/>
    <w:next w:val="933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6"/>
    <w:next w:val="934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"/>
    <w:next w:val="935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1"/>
    <w:next w:val="936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2"/>
    <w:next w:val="937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3"/>
    <w:next w:val="938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4"/>
    <w:next w:val="939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5"/>
    <w:next w:val="940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6"/>
    <w:next w:val="941"/>
    <w:link w:val="76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"/>
    <w:next w:val="942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1"/>
    <w:next w:val="943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2"/>
    <w:next w:val="944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- Accent 3"/>
    <w:next w:val="945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- Accent 4"/>
    <w:next w:val="946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- Accent 5"/>
    <w:next w:val="947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6"/>
    <w:next w:val="948"/>
    <w:link w:val="768"/>
    <w:uiPriority w:val="99"/>
    <w:pPr>
      <w:pBdr/>
      <w:spacing/>
      <w:ind/>
    </w:pPr>
    <w:rPr>
      <w:lang w:val="uk-UA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9">
    <w:name w:val="Гиперссылка"/>
    <w:next w:val="949"/>
    <w:link w:val="768"/>
    <w:uiPriority w:val="99"/>
    <w:unhideWhenUsed/>
    <w:pPr>
      <w:pBdr/>
      <w:spacing/>
      <w:ind/>
    </w:pPr>
    <w:rPr>
      <w:color w:val="0000ff"/>
      <w:u w:val="single"/>
    </w:rPr>
  </w:style>
  <w:style w:type="paragraph" w:styleId="950">
    <w:name w:val="Текст сноски"/>
    <w:next w:val="950"/>
    <w:link w:val="951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51">
    <w:name w:val="Текст сноски Знак"/>
    <w:next w:val="951"/>
    <w:link w:val="950"/>
    <w:uiPriority w:val="99"/>
    <w:semiHidden/>
    <w:pPr>
      <w:pBdr/>
      <w:spacing/>
      <w:ind/>
    </w:pPr>
    <w:rPr>
      <w:sz w:val="18"/>
      <w:lang w:bidi="ar-SA"/>
    </w:rPr>
  </w:style>
  <w:style w:type="character" w:styleId="952">
    <w:name w:val="Знак сноски"/>
    <w:next w:val="952"/>
    <w:link w:val="768"/>
    <w:uiPriority w:val="99"/>
    <w:unhideWhenUsed/>
    <w:pPr>
      <w:pBdr/>
      <w:spacing/>
      <w:ind/>
    </w:pPr>
    <w:rPr>
      <w:vertAlign w:val="superscript"/>
    </w:rPr>
  </w:style>
  <w:style w:type="paragraph" w:styleId="953">
    <w:name w:val="Текст концевой сноски"/>
    <w:next w:val="953"/>
    <w:link w:val="954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954">
    <w:name w:val="Текст концевой сноски Знак"/>
    <w:next w:val="954"/>
    <w:link w:val="953"/>
    <w:uiPriority w:val="99"/>
    <w:semiHidden/>
    <w:pPr>
      <w:pBdr/>
      <w:spacing/>
      <w:ind/>
    </w:pPr>
    <w:rPr>
      <w:lang w:val="uk-UA" w:eastAsia="uk-UA" w:bidi="ar-SA"/>
    </w:rPr>
  </w:style>
  <w:style w:type="character" w:styleId="955">
    <w:name w:val="Знак концевой сноски"/>
    <w:next w:val="955"/>
    <w:link w:val="768"/>
    <w:uiPriority w:val="99"/>
    <w:semiHidden/>
    <w:unhideWhenUsed/>
    <w:pPr>
      <w:pBdr/>
      <w:spacing/>
      <w:ind/>
    </w:pPr>
    <w:rPr>
      <w:vertAlign w:val="superscript"/>
    </w:rPr>
  </w:style>
  <w:style w:type="paragraph" w:styleId="956">
    <w:name w:val="Оглавление 1"/>
    <w:next w:val="956"/>
    <w:link w:val="768"/>
    <w:uiPriority w:val="39"/>
    <w:unhideWhenUsed/>
    <w:pPr>
      <w:pBdr/>
      <w:spacing w:after="57"/>
      <w:ind/>
    </w:pPr>
    <w:rPr>
      <w:lang w:val="uk-UA" w:eastAsia="zh-CN" w:bidi="ar-SA"/>
    </w:rPr>
  </w:style>
  <w:style w:type="paragraph" w:styleId="957">
    <w:name w:val="Оглавление 2"/>
    <w:next w:val="957"/>
    <w:link w:val="768"/>
    <w:uiPriority w:val="39"/>
    <w:unhideWhenUsed/>
    <w:pPr>
      <w:pBdr/>
      <w:spacing w:after="57"/>
      <w:ind w:left="283"/>
    </w:pPr>
    <w:rPr>
      <w:lang w:val="uk-UA" w:eastAsia="zh-CN" w:bidi="ar-SA"/>
    </w:rPr>
  </w:style>
  <w:style w:type="paragraph" w:styleId="958">
    <w:name w:val="Оглавление 3"/>
    <w:next w:val="958"/>
    <w:link w:val="768"/>
    <w:uiPriority w:val="39"/>
    <w:unhideWhenUsed/>
    <w:pPr>
      <w:pBdr/>
      <w:spacing w:after="57"/>
      <w:ind w:left="567"/>
    </w:pPr>
    <w:rPr>
      <w:lang w:val="uk-UA" w:eastAsia="zh-CN" w:bidi="ar-SA"/>
    </w:rPr>
  </w:style>
  <w:style w:type="paragraph" w:styleId="959">
    <w:name w:val="Оглавление 4"/>
    <w:next w:val="959"/>
    <w:link w:val="768"/>
    <w:uiPriority w:val="39"/>
    <w:unhideWhenUsed/>
    <w:pPr>
      <w:pBdr/>
      <w:spacing w:after="57"/>
      <w:ind w:left="850"/>
    </w:pPr>
    <w:rPr>
      <w:lang w:val="uk-UA" w:eastAsia="zh-CN" w:bidi="ar-SA"/>
    </w:rPr>
  </w:style>
  <w:style w:type="paragraph" w:styleId="960">
    <w:name w:val="Оглавление 5"/>
    <w:next w:val="960"/>
    <w:link w:val="768"/>
    <w:uiPriority w:val="39"/>
    <w:unhideWhenUsed/>
    <w:pPr>
      <w:pBdr/>
      <w:spacing w:after="57"/>
      <w:ind w:left="1134"/>
    </w:pPr>
    <w:rPr>
      <w:lang w:val="uk-UA" w:eastAsia="zh-CN" w:bidi="ar-SA"/>
    </w:rPr>
  </w:style>
  <w:style w:type="paragraph" w:styleId="961">
    <w:name w:val="Оглавление 6"/>
    <w:next w:val="961"/>
    <w:link w:val="768"/>
    <w:uiPriority w:val="39"/>
    <w:unhideWhenUsed/>
    <w:pPr>
      <w:pBdr/>
      <w:spacing w:after="57"/>
      <w:ind w:left="1417"/>
    </w:pPr>
    <w:rPr>
      <w:lang w:val="uk-UA" w:eastAsia="zh-CN" w:bidi="ar-SA"/>
    </w:rPr>
  </w:style>
  <w:style w:type="paragraph" w:styleId="962">
    <w:name w:val="Оглавление 7"/>
    <w:next w:val="962"/>
    <w:link w:val="768"/>
    <w:uiPriority w:val="39"/>
    <w:unhideWhenUsed/>
    <w:pPr>
      <w:pBdr/>
      <w:spacing w:after="57"/>
      <w:ind w:left="1701"/>
    </w:pPr>
    <w:rPr>
      <w:lang w:val="uk-UA" w:eastAsia="zh-CN" w:bidi="ar-SA"/>
    </w:rPr>
  </w:style>
  <w:style w:type="paragraph" w:styleId="963">
    <w:name w:val="Оглавление 8"/>
    <w:next w:val="963"/>
    <w:link w:val="768"/>
    <w:uiPriority w:val="39"/>
    <w:unhideWhenUsed/>
    <w:pPr>
      <w:pBdr/>
      <w:spacing w:after="57"/>
      <w:ind w:left="1984"/>
    </w:pPr>
    <w:rPr>
      <w:lang w:val="uk-UA" w:eastAsia="zh-CN" w:bidi="ar-SA"/>
    </w:rPr>
  </w:style>
  <w:style w:type="paragraph" w:styleId="964">
    <w:name w:val="Оглавление 9"/>
    <w:next w:val="964"/>
    <w:link w:val="768"/>
    <w:uiPriority w:val="39"/>
    <w:unhideWhenUsed/>
    <w:pPr>
      <w:pBdr/>
      <w:spacing w:after="57"/>
      <w:ind w:left="2268"/>
    </w:pPr>
    <w:rPr>
      <w:lang w:val="uk-UA" w:eastAsia="zh-CN" w:bidi="ar-SA"/>
    </w:rPr>
  </w:style>
  <w:style w:type="paragraph" w:styleId="965">
    <w:name w:val="Заголовок оглавления"/>
    <w:next w:val="965"/>
    <w:link w:val="768"/>
    <w:uiPriority w:val="39"/>
    <w:unhideWhenUsed/>
    <w:pPr>
      <w:pBdr/>
      <w:spacing/>
      <w:ind/>
    </w:pPr>
    <w:rPr>
      <w:lang w:val="uk-UA" w:eastAsia="zh-CN" w:bidi="ar-SA"/>
    </w:rPr>
  </w:style>
  <w:style w:type="paragraph" w:styleId="966">
    <w:name w:val="Перечень рисунков"/>
    <w:next w:val="966"/>
    <w:link w:val="768"/>
    <w:uiPriority w:val="99"/>
    <w:unhideWhenUsed/>
    <w:pPr>
      <w:pBdr/>
      <w:spacing/>
      <w:ind/>
    </w:pPr>
    <w:rPr>
      <w:lang w:val="uk-UA" w:eastAsia="zh-CN" w:bidi="ar-SA"/>
    </w:rPr>
  </w:style>
  <w:style w:type="paragraph" w:styleId="967">
    <w:name w:val="Обычный1"/>
    <w:next w:val="967"/>
    <w:link w:val="768"/>
    <w:pPr>
      <w:pBdr/>
      <w:spacing/>
      <w:ind/>
    </w:pPr>
    <w:rPr>
      <w:lang w:val="ru-RU" w:eastAsia="ru-RU" w:bidi="ar-SA"/>
    </w:rPr>
  </w:style>
  <w:style w:type="character" w:styleId="968">
    <w:name w:val="Основной шрифт абзаца1"/>
    <w:next w:val="968"/>
    <w:link w:val="768"/>
    <w:semiHidden/>
    <w:pPr>
      <w:pBdr/>
      <w:spacing/>
      <w:ind/>
    </w:pPr>
  </w:style>
  <w:style w:type="table" w:styleId="969">
    <w:name w:val="Обычная таблица1"/>
    <w:next w:val="969"/>
    <w:link w:val="768"/>
    <w:semiHidden/>
    <w:pPr>
      <w:pBdr/>
      <w:spacing/>
      <w:ind/>
    </w:pPr>
    <w:rPr>
      <w:lang w:val="uk-UA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70">
    <w:name w:val="Нет списка1"/>
    <w:next w:val="970"/>
    <w:link w:val="768"/>
    <w:semiHidden/>
    <w:pPr>
      <w:pBdr/>
      <w:spacing/>
      <w:ind/>
    </w:pPr>
  </w:style>
  <w:style w:type="paragraph" w:styleId="971">
    <w:name w:val="Обычный (веб)1"/>
    <w:basedOn w:val="967"/>
    <w:next w:val="971"/>
    <w:link w:val="768"/>
    <w:pPr>
      <w:pBdr/>
      <w:spacing/>
      <w:ind w:firstLine="400"/>
    </w:pPr>
    <w:rPr>
      <w:rFonts w:ascii="Verdana" w:hAnsi="Verdana"/>
      <w:color w:val="000000"/>
      <w:sz w:val="24"/>
      <w:szCs w:val="24"/>
    </w:rPr>
  </w:style>
  <w:style w:type="paragraph" w:styleId="972">
    <w:name w:val="Текст выноски1"/>
    <w:basedOn w:val="967"/>
    <w:next w:val="972"/>
    <w:link w:val="973"/>
    <w:semiHidden/>
    <w:pPr>
      <w:pBdr/>
      <w:spacing/>
      <w:ind/>
    </w:pPr>
    <w:rPr>
      <w:sz w:val="2"/>
      <w:lang w:val="en-US" w:eastAsia="en-US"/>
    </w:rPr>
  </w:style>
  <w:style w:type="character" w:styleId="973">
    <w:name w:val="Текст выноски Знак"/>
    <w:next w:val="973"/>
    <w:link w:val="972"/>
    <w:semiHidden/>
    <w:pPr>
      <w:pBdr/>
      <w:spacing/>
      <w:ind/>
    </w:pPr>
    <w:rPr>
      <w:sz w:val="2"/>
    </w:rPr>
  </w:style>
  <w:style w:type="table" w:styleId="974">
    <w:name w:val="Сетка таблицы1"/>
    <w:basedOn w:val="969"/>
    <w:next w:val="974"/>
    <w:link w:val="768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75">
    <w:name w:val="Основной текст с отступом1"/>
    <w:basedOn w:val="967"/>
    <w:next w:val="975"/>
    <w:link w:val="976"/>
    <w:pPr>
      <w:pBdr/>
      <w:spacing/>
      <w:ind w:firstLine="1134"/>
      <w:jc w:val="both"/>
    </w:pPr>
    <w:rPr>
      <w:lang w:val="en-US" w:eastAsia="en-US"/>
    </w:rPr>
  </w:style>
  <w:style w:type="character" w:styleId="976">
    <w:name w:val="Основной текст с отступом Знак"/>
    <w:next w:val="976"/>
    <w:link w:val="975"/>
    <w:semiHidden/>
    <w:pPr>
      <w:pBdr/>
      <w:spacing/>
      <w:ind/>
    </w:pPr>
    <w:rPr>
      <w:sz w:val="20"/>
      <w:szCs w:val="20"/>
    </w:rPr>
  </w:style>
  <w:style w:type="paragraph" w:styleId="977">
    <w:name w:val="Стандартный HTML1"/>
    <w:basedOn w:val="967"/>
    <w:next w:val="977"/>
    <w:link w:val="97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/>
      <w:lang w:val="en-US" w:eastAsia="en-US"/>
    </w:rPr>
  </w:style>
  <w:style w:type="character" w:styleId="978">
    <w:name w:val="Стандартный HTML Знак"/>
    <w:next w:val="978"/>
    <w:link w:val="977"/>
    <w:semiHidden/>
    <w:pPr>
      <w:pBdr/>
      <w:spacing/>
      <w:ind/>
    </w:pPr>
    <w:rPr>
      <w:rFonts w:ascii="Courier New" w:hAnsi="Courier New"/>
      <w:sz w:val="20"/>
      <w:szCs w:val="20"/>
    </w:rPr>
  </w:style>
  <w:style w:type="paragraph" w:styleId="979">
    <w:name w:val="Абзац списка1"/>
    <w:basedOn w:val="967"/>
    <w:next w:val="979"/>
    <w:link w:val="768"/>
    <w:pPr>
      <w:pBdr/>
      <w:spacing/>
      <w:ind w:left="720"/>
      <w:contextualSpacing w:val="true"/>
    </w:pPr>
  </w:style>
  <w:style w:type="paragraph" w:styleId="980">
    <w:name w:val="docdata,docy,v5,9698,baiaagaaboqcaaad2cmaaaxmiwaaaaaaaaaaaaaaaaaaaaaaaaaaaaaaaaaaaaaaaaaaaaaaaaaaaaaaaaaaaaaaaaaaaaaaaaaaaaaaaaaaaaaaaaaaaaaaaaaaaaaaaaaaaaaaaaaaaaaaaaaaaaaaaaaaaaaaaaaaaaaaaaaaaaaaaaaaaaaaaaaaaaaaaaaaaaaaaaaaaaaaaaaaaaaaaaaaaaaaaaaaaaaa"/>
    <w:basedOn w:val="768"/>
    <w:next w:val="980"/>
    <w:link w:val="768"/>
    <w:pPr>
      <w:pBdr/>
      <w:spacing w:after="100" w:afterAutospacing="1" w:before="100" w:beforeAutospacing="1"/>
      <w:ind/>
    </w:pPr>
    <w:rPr>
      <w:sz w:val="24"/>
      <w:szCs w:val="24"/>
      <w:lang w:eastAsia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6</cp:revision>
  <dcterms:created xsi:type="dcterms:W3CDTF">2025-01-10T14:11:00Z</dcterms:created>
  <dcterms:modified xsi:type="dcterms:W3CDTF">2025-01-24T13:31:45Z</dcterms:modified>
  <cp:version>786432</cp:version>
</cp:coreProperties>
</file>