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1"/>
        <w:pBdr/>
        <w:spacing w:after="0" w:afterAutospacing="0" w:before="0" w:beforeAutospacing="0"/>
        <w:ind/>
        <w:jc w:val="center"/>
        <w:rPr/>
      </w:pPr>
      <w:r>
        <w:tab/>
      </w:r>
      <w:r/>
    </w:p>
    <w:p>
      <w:pPr>
        <w:pStyle w:val="932"/>
        <w:pBdr/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/>
    </w:p>
    <w:p>
      <w:pPr>
        <w:pStyle w:val="932"/>
        <w:pBdr/>
        <w:spacing w:after="0" w:afterAutospacing="0" w:before="0" w:beforeAutospacing="0"/>
        <w:ind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32"/>
        <w:widowControl w:val="false"/>
        <w:pBdr/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РОЗПОРЯДЖЕННЯ </w:t>
      </w:r>
      <w:r/>
    </w:p>
    <w:p>
      <w:pPr>
        <w:pStyle w:val="932"/>
        <w:widowControl w:val="false"/>
        <w:pBdr/>
        <w:spacing w:after="0" w:afterAutospacing="0" w:before="0" w:beforeAutospacing="0"/>
        <w:ind/>
        <w:jc w:val="center"/>
        <w:rPr/>
      </w:pPr>
      <w:r>
        <w:t xml:space="preserve"> </w:t>
      </w:r>
      <w:r/>
    </w:p>
    <w:p>
      <w:pPr>
        <w:pStyle w:val="932"/>
        <w:widowControl w:val="false"/>
        <w:pBdr/>
        <w:tabs>
          <w:tab w:val="left" w:leader="none" w:pos="4535"/>
          <w:tab w:val="left" w:leader="none" w:pos="7372"/>
          <w:tab w:val="left" w:leader="none" w:pos="7514"/>
        </w:tabs>
        <w:spacing w:after="0" w:afterAutospacing="0" w:before="0" w:beforeAutospacing="0"/>
        <w:ind/>
        <w:rPr/>
      </w:pPr>
      <w:r>
        <w:rPr>
          <w:color w:val="000000"/>
          <w:sz w:val="28"/>
          <w:szCs w:val="28"/>
        </w:rPr>
        <w:t xml:space="preserve">16 січня 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м.Мена</w:t>
      </w:r>
      <w:r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 xml:space="preserve">12</w:t>
      </w:r>
      <w:r/>
    </w:p>
    <w:p>
      <w:pPr>
        <w:pStyle w:val="932"/>
        <w:widowControl w:val="false"/>
        <w:pBdr/>
        <w:spacing w:after="0" w:afterAutospacing="0" w:before="0" w:beforeAutospacing="0"/>
        <w:ind/>
        <w:rPr/>
      </w:pPr>
      <w:r>
        <w:t xml:space="preserve"> </w:t>
      </w:r>
      <w:r/>
    </w:p>
    <w:p>
      <w:pPr>
        <w:pStyle w:val="932"/>
        <w:widowControl w:val="false"/>
        <w:pBdr/>
        <w:spacing w:after="0" w:afterAutospacing="0" w:before="0" w:beforeAutospacing="0"/>
        <w:ind w:right="5522"/>
        <w:jc w:val="both"/>
        <w:rPr/>
      </w:pPr>
      <w:r>
        <w:rPr>
          <w:b/>
          <w:bCs/>
          <w:color w:val="000000"/>
          <w:sz w:val="28"/>
          <w:szCs w:val="28"/>
        </w:rPr>
        <w:t xml:space="preserve">Про облікову політику по Менській міській раді на 202</w:t>
      </w:r>
      <w:r>
        <w:rPr>
          <w:b/>
          <w:bCs/>
          <w:color w:val="000000"/>
          <w:sz w:val="28"/>
          <w:szCs w:val="28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 рік </w:t>
      </w:r>
      <w:r/>
    </w:p>
    <w:p>
      <w:pPr>
        <w:pStyle w:val="932"/>
        <w:widowControl w:val="false"/>
        <w:pBdr/>
        <w:spacing w:after="0" w:afterAutospacing="0" w:before="0" w:beforeAutospacing="0"/>
        <w:ind/>
        <w:jc w:val="both"/>
        <w:rPr/>
      </w:pPr>
      <w:r>
        <w:t xml:space="preserve"> </w:t>
      </w:r>
      <w:r/>
    </w:p>
    <w:p>
      <w:pPr>
        <w:pStyle w:val="932"/>
        <w:pBdr/>
        <w:spacing w:after="0" w:afterAutospacing="0" w:before="0" w:beforeAutospacing="0"/>
        <w:ind w:firstLine="708"/>
        <w:jc w:val="both"/>
        <w:rPr/>
      </w:pPr>
      <w:r>
        <w:rPr>
          <w:color w:val="000000"/>
          <w:sz w:val="28"/>
          <w:szCs w:val="28"/>
        </w:rPr>
        <w:t xml:space="preserve">Відповідно до Закону України «Про бухгалтерський облік та фінансову звітність в Україні» від 16 липня 1999 року № 996-ХІV, Типового положення про бухгалтерську службу бюджетної установи, затвердженого постановою Кабінету Міністрів України від 26 січня 2011</w:t>
      </w:r>
      <w:r>
        <w:rPr>
          <w:color w:val="000000"/>
          <w:sz w:val="28"/>
          <w:szCs w:val="28"/>
        </w:rPr>
        <w:t xml:space="preserve"> року № 59, </w:t>
      </w:r>
      <w:r>
        <w:rPr>
          <w:color w:val="000000"/>
          <w:sz w:val="28"/>
          <w:szCs w:val="28"/>
        </w:rPr>
        <w:t xml:space="preserve">положень Національних (стандартів) бухгалтерського обліку в державному секторі (далі – НП(С)БО),</w:t>
      </w:r>
      <w:r>
        <w:rPr>
          <w:color w:val="ff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Плану рахунків бухгалтерського обліку в державному секторі, затвердженого наказом Міністерства фінансів України від 31 грудня 2013 року № 1203</w:t>
      </w:r>
      <w:r>
        <w:rPr>
          <w:color w:val="000000"/>
          <w:sz w:val="28"/>
          <w:szCs w:val="28"/>
        </w:rPr>
        <w:t xml:space="preserve"> та з</w:t>
      </w:r>
      <w:r>
        <w:rPr>
          <w:color w:val="000000"/>
          <w:sz w:val="28"/>
          <w:szCs w:val="28"/>
        </w:rPr>
        <w:t xml:space="preserve"> метою забезпечення належного ведення бухгалтерського обліку у </w:t>
      </w:r>
      <w:r>
        <w:rPr>
          <w:color w:val="000000"/>
          <w:sz w:val="28"/>
          <w:szCs w:val="28"/>
        </w:rPr>
        <w:t xml:space="preserve">Менській міській раді, своєчасного надання достовірної інформації користувачам фінансової звітності, керуючись статтею 42, 50 Закону України «Про місцеве самоврядування в Украї</w:t>
      </w:r>
      <w:r>
        <w:rPr>
          <w:color w:val="000000"/>
          <w:sz w:val="28"/>
          <w:szCs w:val="28"/>
        </w:rPr>
        <w:t xml:space="preserve">ні»:</w:t>
      </w:r>
      <w:r/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1. Затвердити такі положення облікової політики: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1.1 Форма бухгалтерського обліку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меморіально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- ордерна.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1.2 Підстава для відображення операції в бухгалтерському обліку - первинний документ, який фіксує факт здійснення операції та складається під ча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с її здійснення. Оформлення та подання первинних документів відбувається відповідно до вимог Положення про документальне забезпечення записів у бухгалтерському обліку, затвердженого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uk-UA"/>
        </w:rPr>
        <w:t xml:space="preserve">наказом Міністерства фінансів України від 24 травня 1995 року № 88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, у стро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ки, які визначені Графіком документообігу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1.3 Застосовувати Робочий План рахунків бухгалтерського обліку.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Деталізація основних рахунків здійснюється шляхом запровадження до субрахунків аналітичних рахунків.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1.4 До складу основних засобів відносити матеріальні активи, термін експлуатації яких перевищує один рік та первісна вартість за одиницю (комплект ) перевищує 20000,00 (двадцять тисяч ) грн. без урахування податку на додану вартість. Матеріальні активи, як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і були віднесені до складу основних засобів до набрання чинності НП (С)БО №121 «Основні засоби», обліковувати як основні засоби до їх вибуття (списання) з обліку.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</w:p>
    <w:p>
      <w:pPr>
        <w:pStyle w:val="931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1.5 Проводити нарахування амортизації (зносу) на основні засоби за прямолінійним методом на с</w:t>
      </w:r>
      <w:r>
        <w:rPr>
          <w:color w:val="000000"/>
          <w:sz w:val="28"/>
          <w:szCs w:val="28"/>
        </w:rPr>
        <w:t xml:space="preserve">истематичній основі шляхом її нарахування на річну дату балансу. Для визначення строків корисного використання груп основних засобів приймати Типові строки корисного використання груп основних засобів, які визначені 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НП(С)БО та в додатку 1 до методичних р</w:t>
      </w:r>
      <w:r>
        <w:rPr>
          <w:color w:val="auto"/>
          <w:sz w:val="28"/>
          <w:szCs w:val="28"/>
        </w:rPr>
        <w:t xml:space="preserve">екомендацій щодо облікової політики суб’єкта державного сектору, затверджених наказом Мінфіну </w:t>
      </w:r>
      <w:r>
        <w:rPr>
          <w:color w:val="auto"/>
          <w:sz w:val="28"/>
          <w:szCs w:val="28"/>
        </w:rPr>
        <w:t xml:space="preserve">від 23 січня 2015 року № 11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очікуваної експлуатації нематеріальних активів, визначених у додатку 2 до </w:t>
      </w:r>
      <w:r>
        <w:rPr>
          <w:color w:val="000000"/>
          <w:sz w:val="28"/>
          <w:szCs w:val="28"/>
        </w:rPr>
        <w:t xml:space="preserve">Методрекомендацій</w:t>
      </w:r>
      <w:r>
        <w:rPr>
          <w:color w:val="000000"/>
          <w:sz w:val="28"/>
          <w:szCs w:val="28"/>
        </w:rPr>
        <w:t xml:space="preserve"> № 11. Термін корисного використання мат</w:t>
      </w:r>
      <w:r>
        <w:rPr>
          <w:color w:val="000000"/>
          <w:sz w:val="28"/>
          <w:szCs w:val="28"/>
        </w:rPr>
        <w:t xml:space="preserve">еріальних активів, які не визначені в Типових строках корисного використання груп основних засобів визначається комісією при їх прийманні та затверджується розпорядженням міського голови.</w:t>
      </w:r>
      <w:r/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1.6 Об’єкти основних засобів та нематеріальних активів на дату балан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су не переоцінюються. Втрати від зменшення та вигоди від відновлення корисності об’єктів основних засобів та нематеріальних активів, їх переоцінка визначаються один раз на рік під час проведення їх інвентаризації. Підставою для проведення переоцінки є розп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орядження забезпечувального органу, у віданні якого знаходиться об’єкт основних засобів, з визначенням порядку та строків її здійснення. Проведення переоцінки проводити за розпорядженням міського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голови інвентаризаційною комісією по видах основних засобів.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1.7 В якості визначення одиниці обліку запасів використовувати їх найменування.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1.8 Оцінку запасів при їх вибутті (внаслідок їх використання, передачі або іншого вибуття) проводити за методом ФІФО з припущенням, що запаси використовуються у тій послідовно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сті, у якій вони надходили до установи (Відображені у бухгалтерському обліку)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931"/>
        <w:pBdr/>
        <w:shd w:val="clear" w:color="auto" w:fill="ffffff"/>
        <w:spacing w:after="0" w:afterAutospacing="0" w:before="0" w:beforeAutospacing="0"/>
        <w:ind w:firstLine="708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1.9 Аналітичний облік запасів здійснювати з використанням форм, затверджених наказом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Міністерства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фінансів України</w:t>
      </w:r>
      <w:r>
        <w:rPr>
          <w:color w:val="000000" w:themeColor="text1"/>
          <w:sz w:val="28"/>
          <w:szCs w:val="28"/>
        </w:rPr>
        <w:t xml:space="preserve"> від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13 грудня 2022 року № 431</w:t>
      </w:r>
      <w:r>
        <w:rPr>
          <w:color w:val="000000" w:themeColor="text1"/>
          <w:sz w:val="28"/>
          <w:szCs w:val="28"/>
        </w:rPr>
        <w:t xml:space="preserve"> «Про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затвердження типових форм з обліку та списання запасів суб’єктами державного сектору та порядку їх складання»</w:t>
      </w:r>
      <w:r>
        <w:rPr>
          <w:color w:val="000000" w:themeColor="text1"/>
          <w:sz w:val="28"/>
          <w:szCs w:val="28"/>
        </w:rPr>
        <w:t xml:space="preserve">. 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1.10 Списання пального здійснювати на підставі подорожніх листів за фактичною витратою, але не більше встановлених норм витрат.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2. Бухгалтерськи</w:t>
      </w:r>
      <w:r>
        <w:rPr>
          <w:color w:val="000000" w:themeColor="text1"/>
          <w:sz w:val="28"/>
          <w:szCs w:val="28"/>
        </w:rPr>
        <w:t xml:space="preserve">й облік вести з дотриманням таких положень: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2.1. Ведення бухгалтерського обліку здійснює відділ бухгалтерського обліку та звітності під головуванням начальника відділу. Порядок роботи відділу та його начальника визначається Положенням про відділ та Посадов</w:t>
      </w:r>
      <w:r>
        <w:rPr>
          <w:color w:val="000000" w:themeColor="text1"/>
          <w:sz w:val="28"/>
          <w:szCs w:val="28"/>
        </w:rPr>
        <w:t xml:space="preserve">ими інструкціями, які затверджені міським головою.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2.2. Оформлення та ведення касових операцій здійснювати відповідно до Положення про ведення касових операцій у національній валюті в Україні, затвердженого постановою правління Національного банку України </w:t>
      </w:r>
      <w:r>
        <w:rPr>
          <w:color w:val="000000" w:themeColor="text1"/>
          <w:sz w:val="28"/>
          <w:szCs w:val="28"/>
        </w:rPr>
        <w:t xml:space="preserve">від 29 грудня 2017 року № 148.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/>
      </w:pPr>
      <w:r>
        <w:rPr>
          <w:color w:val="20202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 xml:space="preserve">Інвентаризацію коштів, майна, розрахунків та інших статей балансу здійснювати з дотриманням вимог Положення про інвентаризацію активів та зобов’язань, затвердженого наказом Міністерства фінансів України від 02 вересня 20</w:t>
      </w:r>
      <w:r>
        <w:rPr>
          <w:color w:val="000000"/>
          <w:sz w:val="28"/>
          <w:szCs w:val="28"/>
        </w:rPr>
        <w:t xml:space="preserve">14 року № 879.</w:t>
      </w:r>
      <w:r/>
    </w:p>
    <w:p>
      <w:pPr>
        <w:pStyle w:val="931"/>
        <w:pBdr/>
        <w:shd w:val="clear" w:color="auto" w:fill="ffffff"/>
        <w:spacing w:after="0" w:afterAutospacing="0" w:before="0" w:before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Документальне оформлення прийняття, переміщення, вибуття необоротних активів здійснювати за типовими формами, </w:t>
      </w:r>
      <w:r>
        <w:rPr>
          <w:color w:val="000000"/>
          <w:sz w:val="28"/>
          <w:szCs w:val="28"/>
          <w:shd w:val="clear" w:color="auto" w:fill="ffffff"/>
        </w:rPr>
        <w:t xml:space="preserve">з обліку та списання основних засобів суб’єктами державного сектору та порядку їх складання</w:t>
      </w:r>
      <w:r>
        <w:rPr>
          <w:color w:val="000000"/>
          <w:sz w:val="28"/>
          <w:szCs w:val="28"/>
        </w:rPr>
        <w:t xml:space="preserve">, затвердженими </w:t>
      </w:r>
      <w:r>
        <w:rPr>
          <w:color w:val="000000"/>
          <w:sz w:val="28"/>
          <w:szCs w:val="28"/>
          <w:shd w:val="clear" w:color="auto" w:fill="ffffff"/>
        </w:rPr>
        <w:t xml:space="preserve">Наказ</w:t>
      </w:r>
      <w:r>
        <w:rPr>
          <w:color w:val="000000"/>
          <w:sz w:val="28"/>
          <w:szCs w:val="28"/>
          <w:shd w:val="clear" w:color="auto" w:fill="ffffff"/>
        </w:rPr>
        <w:t xml:space="preserve">ом</w:t>
      </w:r>
      <w:r>
        <w:rPr>
          <w:color w:val="000000"/>
          <w:sz w:val="28"/>
          <w:szCs w:val="28"/>
          <w:shd w:val="clear" w:color="auto" w:fill="ffffff"/>
        </w:rPr>
        <w:t xml:space="preserve"> Міністерства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shd w:val="clear" w:color="auto" w:fill="ffffff"/>
        </w:rPr>
        <w:t xml:space="preserve">фінансів України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shd w:val="clear" w:color="auto" w:fill="ffffff"/>
        </w:rPr>
        <w:t xml:space="preserve">13.09.2016 № 818</w:t>
      </w:r>
      <w:r>
        <w:rPr>
          <w:color w:val="000000"/>
          <w:sz w:val="28"/>
          <w:szCs w:val="28"/>
        </w:rPr>
        <w:t xml:space="preserve">. 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1"/>
        <w:pBdr/>
        <w:shd w:val="clear" w:color="auto" w:fill="ffffff"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Відповідальність за нанесення інвентарних та номенклатурних номерів покласти на матеріальних осіб Менської міської ради.</w:t>
      </w:r>
      <w:r/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2.5. Введення необоротних активів в експлуатацію оформляється Актом введення в експлуатацію основни</w:t>
      </w:r>
      <w:r>
        <w:rPr>
          <w:color w:val="000000" w:themeColor="text1"/>
          <w:sz w:val="28"/>
          <w:szCs w:val="28"/>
        </w:rPr>
        <w:t xml:space="preserve">х засобів.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2.6. Переоцінка вартості основних засобів, які мають 100 % знос, здійснюється на підставі розпоряджень міського голови. При цьому сума переоцінки додається до первісної (переоціненої) вартості об’єкта без зміни суми його зносу.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2.7. Виплата заро</w:t>
      </w:r>
      <w:r>
        <w:rPr>
          <w:color w:val="000000" w:themeColor="text1"/>
          <w:sz w:val="28"/>
          <w:szCs w:val="28"/>
        </w:rPr>
        <w:t xml:space="preserve">біт</w:t>
      </w:r>
      <w:r>
        <w:rPr>
          <w:color w:val="000000" w:themeColor="text1"/>
          <w:sz w:val="28"/>
          <w:szCs w:val="28"/>
        </w:rPr>
        <w:t xml:space="preserve">ної плати працівникам за першу половину місяця в розмірі не менш 40% посадового окладу за фактично відпрацьований час проводиться до 16 –го числа, за другу половину місяця – до 01 числа наступного за місяцем. Термін здачі табеля обліку робочого часу до 26-</w:t>
      </w:r>
      <w:r>
        <w:rPr>
          <w:color w:val="000000" w:themeColor="text1"/>
          <w:sz w:val="28"/>
          <w:szCs w:val="28"/>
        </w:rPr>
        <w:t xml:space="preserve">го числа поточного місяця.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Заробітна плата працівникам за час відрядження виплачується з дотриманням вимог ст.121 КЗпП України. Враховуючи норми колективного договору при направленні працівника у відрядження терміном від 1 до 3 днів оплату праці  за дні ві</w:t>
      </w:r>
      <w:r>
        <w:rPr>
          <w:color w:val="000000" w:themeColor="text1"/>
          <w:sz w:val="28"/>
          <w:szCs w:val="28"/>
        </w:rPr>
        <w:t xml:space="preserve">дрядження здійснювати як за робочий день, відрядження більше 3 днів оплачуються виходячи із середнього заробітку. 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2.8. Службові поїздки для виконання службових доручень оформлюються як службові відрядження. Підставою є розпорядження міського голови.</w:t>
      </w:r>
      <w:r>
        <w:rPr>
          <w:color w:val="ff0000"/>
        </w:rPr>
      </w:r>
      <w:r>
        <w:rPr>
          <w:color w:val="ff0000"/>
        </w:rPr>
      </w:r>
    </w:p>
    <w:p>
      <w:pPr>
        <w:pStyle w:val="931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2.9. Дозволяється в разі службової необхідності направляти працівника у відрядження без виплати авансу.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2.10. На підставі поданого авансового звіту, при наявності підтвердних документів працівнику оплачуються понесені витрати.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2.11. Відповідальними за під</w:t>
      </w:r>
      <w:r>
        <w:rPr>
          <w:color w:val="000000" w:themeColor="text1"/>
          <w:sz w:val="28"/>
          <w:szCs w:val="28"/>
        </w:rPr>
        <w:t xml:space="preserve">готовку, укладення та оформлення проектів договорів, додатків до них щодо надання послуг, придбання товарно - матеріальних цінностей, виконання робіт призначаються керівники структурних підрозділів, у віданні яких є предмет договору. </w:t>
      </w:r>
      <w:r>
        <w:rPr>
          <w:color w:val="202020"/>
          <w:sz w:val="28"/>
          <w:szCs w:val="28"/>
        </w:rPr>
        <w:t xml:space="preserve">Договори укладаються з</w:t>
      </w:r>
      <w:r>
        <w:rPr>
          <w:color w:val="202020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урахуванням вимог Господарського кодексу України від 16 січня 2003 р. № 436-IV, Цивільного кодексу України від 16 січня 2003 р. № 435-IV, Бюджетного кодексу України від 08 липня 2010 р. № 2456-VI </w:t>
      </w:r>
      <w:r>
        <w:rPr>
          <w:color w:val="000000" w:themeColor="text1"/>
          <w:sz w:val="28"/>
          <w:szCs w:val="28"/>
        </w:rPr>
        <w:t xml:space="preserve">, Закону України «Про публічні закупівлі» від 25 грудня 201</w:t>
      </w:r>
      <w:r>
        <w:rPr>
          <w:color w:val="000000" w:themeColor="text1"/>
          <w:sz w:val="28"/>
          <w:szCs w:val="28"/>
        </w:rPr>
        <w:t xml:space="preserve">5 р. № 922-VIII. До надання міському голові, першому заступнику, секретарю, заступникам міського голови на підписання проектів договорів зазначені посадові особи обов’язково повинні погодити їх з начальником відділу бухгалтерського обліку та звітності, гол</w:t>
      </w:r>
      <w:r>
        <w:rPr>
          <w:color w:val="000000" w:themeColor="text1"/>
          <w:sz w:val="28"/>
          <w:szCs w:val="28"/>
        </w:rPr>
        <w:t xml:space="preserve">овним бухгалтером та юридичним відділом. Реєстрація укладених договорів здійснюється в книзі обліку договорів юридичного відділу.</w:t>
      </w:r>
      <w:r>
        <w:rPr>
          <w:color w:val="ff0000"/>
        </w:rPr>
      </w:r>
      <w:r>
        <w:rPr>
          <w:color w:val="ff000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2.12. Відображення здійснених господарських операцій в регістрах бухгалтерського обліку здійснюється відповідно до типової кор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еспонденції рахунків 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3. Ведення бухгалтерського обліку діяльності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Менської міської ради здійснювати з дотриманням таких організаційних питань: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3.1. Затвердити графік документообігу. 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3.2. Призначити відповідальних: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- за облік і видачу довіреностей – головн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ого спеціаліста відділу бухгалтерського обліку та звітності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Бирюк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Н.В.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3.3 Матеріально відповідальними особами визначити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 заступників міського голови з питань діяльності виконавчих органів ради,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старост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, начальників відд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ілів, водія,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завідувача господарством.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4.Відповідальними за ведення бухгалтерського обліку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Менської міської ради визначити: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4.1.Відповідно до п.3 ст.8 Закону України «Про бухгалтерський облік та фінансову звітність в Україні» від 16 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ипня 1999 р. № 996-ХIV покладаю на себе відповідальність за стан бухгалтерського обліку та фінансової звітності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установі.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4.2.Начальник відділу бухгалтерського обліку та звітності, головний бухгалтер в межах бюджетного законодавства є відповідальним за: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- забезпечення дотримання установлених єдиних методологічних засад бухгалтерського обліку, складання і подання в установлені строки фінансової, бюджетної та іншої звітності;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- відображення на рахунках бухгалтерського обліку всіх господарських операцій;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- п</w:t>
      </w:r>
      <w:r>
        <w:rPr>
          <w:color w:val="000000" w:themeColor="text1"/>
          <w:sz w:val="28"/>
          <w:szCs w:val="28"/>
        </w:rPr>
        <w:t xml:space="preserve">еревірки, візування документів, що є підставою для приймання та видачі товарно - матеріальних цінностей та коштів, а також розрахункових, фінансових зобов’язань.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4.3. Підставою для бухгалтерського обліку господарських операцій є первинні документи, які скл</w:t>
      </w:r>
      <w:r>
        <w:rPr>
          <w:color w:val="000000" w:themeColor="text1"/>
          <w:sz w:val="28"/>
          <w:szCs w:val="28"/>
        </w:rPr>
        <w:t xml:space="preserve">адені згідно з вимогами Положення про документальне забезпечення записів у бухгалтерському обліку, затвердженого наказом Міністерства фінансів України від 24 травня 1995 року № 88 та інших нормативних документів. Забороняється начальнику відділу бухгалтерс</w:t>
      </w:r>
      <w:r>
        <w:rPr>
          <w:color w:val="000000" w:themeColor="text1"/>
          <w:sz w:val="28"/>
          <w:szCs w:val="28"/>
        </w:rPr>
        <w:t xml:space="preserve">ького обліку та звітності приймати для обробки документи, які оформлені з порушенням вимог нормативних документів.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4.4.Право першого підпису фінансових документів надано: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секретарю ради  </w:t>
      </w:r>
      <w:r>
        <w:rPr>
          <w:color w:val="000000" w:themeColor="text1"/>
          <w:sz w:val="28"/>
          <w:szCs w:val="28"/>
        </w:rPr>
        <w:t xml:space="preserve">Стальниченку</w:t>
      </w:r>
      <w:r>
        <w:rPr>
          <w:color w:val="000000" w:themeColor="text1"/>
          <w:sz w:val="28"/>
          <w:szCs w:val="28"/>
        </w:rPr>
        <w:t xml:space="preserve"> Юрі</w:t>
      </w:r>
      <w:r>
        <w:rPr>
          <w:color w:val="000000" w:themeColor="text1"/>
          <w:sz w:val="28"/>
          <w:szCs w:val="28"/>
        </w:rPr>
        <w:t xml:space="preserve">ю Валерійовичу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заступнику міського голови з питань діяльності виконавчих органів ради</w:t>
      </w:r>
      <w:r>
        <w:rPr>
          <w:color w:val="000000" w:themeColor="text1"/>
          <w:sz w:val="28"/>
          <w:szCs w:val="28"/>
        </w:rPr>
        <w:t xml:space="preserve"> Прищепі Вікторії Василівні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-заступнику міського голови з питань діяльності виконавчих органів ради </w:t>
      </w:r>
      <w:r>
        <w:rPr>
          <w:color w:val="000000" w:themeColor="text1"/>
          <w:sz w:val="28"/>
          <w:szCs w:val="28"/>
        </w:rPr>
        <w:t xml:space="preserve">Гаєвому</w:t>
      </w:r>
      <w:r>
        <w:rPr>
          <w:color w:val="000000" w:themeColor="text1"/>
          <w:sz w:val="28"/>
          <w:szCs w:val="28"/>
        </w:rPr>
        <w:t xml:space="preserve"> Сергію Миколайовичу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Право другого підпису фінансових документів надано: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начальнику  відділу бухгалтерського обліку та звітності, головному бухгалтеру Ємець Тетяні Олександрівні;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- заступнику начальника відділу бухгалтерського обліку та звітності Крамаренко Валентині Віталі</w:t>
      </w:r>
      <w:r>
        <w:rPr>
          <w:color w:val="000000" w:themeColor="text1"/>
          <w:sz w:val="28"/>
          <w:szCs w:val="28"/>
        </w:rPr>
        <w:t xml:space="preserve">ївні;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- головному спеціалісту відділу бухгалтерськог</w:t>
      </w:r>
      <w:r>
        <w:rPr>
          <w:color w:val="000000" w:themeColor="text1"/>
          <w:sz w:val="28"/>
          <w:szCs w:val="28"/>
        </w:rPr>
        <w:t xml:space="preserve">о обліку та звітності </w:t>
      </w:r>
      <w:r>
        <w:rPr>
          <w:color w:val="000000" w:themeColor="text1"/>
          <w:sz w:val="28"/>
          <w:szCs w:val="28"/>
        </w:rPr>
        <w:t xml:space="preserve">Бирюк</w:t>
      </w:r>
      <w:r>
        <w:rPr>
          <w:color w:val="000000" w:themeColor="text1"/>
          <w:sz w:val="28"/>
          <w:szCs w:val="28"/>
        </w:rPr>
        <w:t xml:space="preserve"> Наталії Вікторівні.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5. У разі виправлення суттєвих помилок, які відносяться до попередніх періодів, та повторного складання фінансової звітності встановлюється поріг суттєвої помилки в розмірі 0,001% відповідно до підсумку балансу.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6. Розпорядження застосовувати до правовідно</w:t>
      </w:r>
      <w:r>
        <w:rPr>
          <w:color w:val="000000" w:themeColor="text1"/>
          <w:sz w:val="28"/>
          <w:szCs w:val="28"/>
        </w:rPr>
        <w:t xml:space="preserve">син, які виникли з 01 січня 202</w:t>
      </w: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 року.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Контроль за виконанням розпорядження покласти на заступника міського голови з питань діяльності виконавчих органів ради </w:t>
      </w:r>
      <w:r>
        <w:rPr>
          <w:color w:val="000000" w:themeColor="text1"/>
          <w:sz w:val="28"/>
          <w:szCs w:val="28"/>
          <w:lang w:val="en-US"/>
        </w:rPr>
        <w:t xml:space="preserve">C</w:t>
      </w:r>
      <w:r>
        <w:rPr>
          <w:color w:val="000000" w:themeColor="text1"/>
          <w:sz w:val="28"/>
          <w:szCs w:val="28"/>
        </w:rPr>
        <w:t xml:space="preserve">.М. </w:t>
      </w:r>
      <w:r>
        <w:rPr>
          <w:color w:val="000000" w:themeColor="text1"/>
          <w:sz w:val="28"/>
          <w:szCs w:val="28"/>
        </w:rPr>
        <w:t xml:space="preserve">Гаєвого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 w:themeColor="text1"/>
        </w:rPr>
        <w:t xml:space="preserve"> 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widowControl w:val="false"/>
        <w:pBdr/>
        <w:spacing w:after="0" w:afterAutospacing="0" w:before="0" w:beforeAutospacing="0"/>
        <w:ind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Секретар ради                                                                     Юрій СТАЛЬНИЧЕНКО</w:t>
      </w:r>
      <w:bookmarkStart w:id="0" w:name="_GoBack"/>
      <w:r/>
      <w:bookmarkEnd w:id="0"/>
      <w:r>
        <w:rPr>
          <w:color w:val="000000"/>
        </w:rPr>
      </w:r>
      <w:r>
        <w:rPr>
          <w:color w:val="000000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sz w:val="28"/>
        </w:rPr>
        <w:t xml:space="preserve">З розпорядженням ознайомлені:</w:t>
      </w:r>
      <w:r/>
    </w:p>
    <w:tbl>
      <w:tblPr>
        <w:tblStyle w:val="787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213"/>
        <w:gridCol w:w="2740"/>
        <w:gridCol w:w="36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13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</w:rPr>
              <w:t xml:space="preserve">Секре</w:t>
            </w:r>
            <w:r>
              <w:rPr>
                <w:color w:val="202020"/>
                <w:sz w:val="28"/>
              </w:rPr>
              <w:t xml:space="preserve">тар ради</w:t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0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</w:rPr>
              <w:t xml:space="preserve">Юрій СТАЛЬНИЧЕНКО</w:t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13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 xml:space="preserve">Заступник міського голови з питань діяльності виконавчих органів ради</w:t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0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</w:rPr>
              <w:t xml:space="preserve">Сергій ГАЄВОЙ</w:t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13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 xml:space="preserve">Начальник відділу бухгалтерського обліку та звітності, головний бухгалтер</w:t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0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</w:rPr>
              <w:t xml:space="preserve">Тетяна ЄМЕЦЬ</w:t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13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</w:rPr>
              <w:t xml:space="preserve">Заступник </w:t>
            </w:r>
            <w:r>
              <w:rPr>
                <w:color w:val="202020"/>
                <w:sz w:val="28"/>
                <w:szCs w:val="28"/>
              </w:rPr>
              <w:t xml:space="preserve">начальника відділу бухгалтерського обліку та звітності</w:t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0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</w:rPr>
              <w:t xml:space="preserve">Валентина КРАМАРЕНКО</w:t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13" w:type="dxa"/>
            <w:vMerge w:val="restart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  <w:highlight w:val="none"/>
              </w:rPr>
            </w:pP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  <w:t xml:space="preserve">Головний спеціаліст відділу бухгалтерського обліку та звітності</w:t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  <w:highlight w:val="none"/>
              </w:rPr>
            </w:r>
            <w:r>
              <w:rPr>
                <w:color w:val="20202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0" w:type="dxa"/>
            <w:vMerge w:val="restart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vMerge w:val="restart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</w:rPr>
            </w:pPr>
            <w:r>
              <w:rPr>
                <w:color w:val="202020"/>
                <w:sz w:val="28"/>
              </w:rPr>
              <w:t xml:space="preserve">Віра МЕКЕНЧЕНКО</w:t>
            </w:r>
            <w:r>
              <w:rPr>
                <w:color w:val="202020"/>
                <w:sz w:val="28"/>
              </w:rPr>
            </w:r>
            <w:r>
              <w:rPr>
                <w:color w:val="202020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13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  <w:highlight w:val="none"/>
              </w:rPr>
            </w:pPr>
            <w:r>
              <w:rPr>
                <w:color w:val="202020"/>
                <w:sz w:val="28"/>
                <w:szCs w:val="28"/>
              </w:rPr>
              <w:t xml:space="preserve">Головний спеціаліст відділу бухгалтерського обліку та звітності</w:t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  <w:highlight w:val="none"/>
              </w:rPr>
            </w:r>
            <w:r>
              <w:rPr>
                <w:color w:val="20202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0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3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afterAutospacing="0" w:before="0" w:beforeAutospacing="0"/>
              <w:ind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</w:rPr>
              <w:t xml:space="preserve">Наталія БИРЮК</w:t>
            </w:r>
            <w:r>
              <w:rPr>
                <w:color w:val="202020"/>
                <w:sz w:val="28"/>
                <w:szCs w:val="28"/>
              </w:rPr>
            </w:r>
            <w:r>
              <w:rPr>
                <w:color w:val="202020"/>
                <w:sz w:val="28"/>
                <w:szCs w:val="28"/>
              </w:rPr>
            </w:r>
          </w:p>
        </w:tc>
      </w:tr>
    </w:tbl>
    <w:p>
      <w:pPr>
        <w:pStyle w:val="932"/>
        <w:pBdr/>
        <w:spacing w:after="0" w:afterAutospacing="0" w:before="0" w:before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</w:r>
      <w:r>
        <w:rPr>
          <w:color w:val="202020"/>
          <w:sz w:val="28"/>
          <w:szCs w:val="28"/>
        </w:rPr>
      </w:r>
      <w:r>
        <w:rPr>
          <w:color w:val="202020"/>
          <w:sz w:val="28"/>
          <w:szCs w:val="28"/>
        </w:rPr>
      </w:r>
    </w:p>
    <w:p>
      <w:pPr>
        <w:pStyle w:val="932"/>
        <w:pBdr/>
        <w:spacing w:after="0" w:afterAutospacing="0" w:before="0" w:before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</w:r>
      <w:r>
        <w:rPr>
          <w:color w:val="202020"/>
          <w:sz w:val="28"/>
          <w:szCs w:val="28"/>
        </w:rPr>
      </w:r>
      <w:r>
        <w:rPr>
          <w:color w:val="202020"/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8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pBdr/>
      <w:spacing/>
      <w:ind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5720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57200" cy="6095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6.00pt;height:48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759"/>
    <w:link w:val="7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6">
    <w:name w:val="Heading 2 Char"/>
    <w:basedOn w:val="759"/>
    <w:link w:val="7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7">
    <w:name w:val="Heading 3 Char"/>
    <w:basedOn w:val="759"/>
    <w:link w:val="7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8">
    <w:name w:val="Heading 4 Char"/>
    <w:basedOn w:val="759"/>
    <w:link w:val="75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9">
    <w:name w:val="Heading 5 Char"/>
    <w:basedOn w:val="759"/>
    <w:link w:val="7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30">
    <w:name w:val="Heading 6 Char"/>
    <w:basedOn w:val="759"/>
    <w:link w:val="75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1">
    <w:name w:val="Heading 7 Char"/>
    <w:basedOn w:val="759"/>
    <w:link w:val="75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2">
    <w:name w:val="Heading 8 Char"/>
    <w:basedOn w:val="759"/>
    <w:link w:val="7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3">
    <w:name w:val="Heading 9 Char"/>
    <w:basedOn w:val="759"/>
    <w:link w:val="7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4">
    <w:name w:val="Title Char"/>
    <w:basedOn w:val="759"/>
    <w:link w:val="77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5">
    <w:name w:val="Subtitle Char"/>
    <w:basedOn w:val="759"/>
    <w:link w:val="77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6">
    <w:name w:val="Quote Char"/>
    <w:basedOn w:val="759"/>
    <w:link w:val="77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7">
    <w:name w:val="Intense Emphasis"/>
    <w:basedOn w:val="75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8">
    <w:name w:val="Intense Quote Char"/>
    <w:basedOn w:val="759"/>
    <w:link w:val="77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9">
    <w:name w:val="Intense Reference"/>
    <w:basedOn w:val="75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40">
    <w:name w:val="Subtle Emphasis"/>
    <w:basedOn w:val="75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1">
    <w:name w:val="Emphasis"/>
    <w:basedOn w:val="759"/>
    <w:uiPriority w:val="20"/>
    <w:qFormat/>
    <w:pPr>
      <w:pBdr/>
      <w:spacing/>
      <w:ind/>
    </w:pPr>
    <w:rPr>
      <w:i/>
      <w:iCs/>
    </w:rPr>
  </w:style>
  <w:style w:type="character" w:styleId="742">
    <w:name w:val="Strong"/>
    <w:basedOn w:val="759"/>
    <w:uiPriority w:val="22"/>
    <w:qFormat/>
    <w:pPr>
      <w:pBdr/>
      <w:spacing/>
      <w:ind/>
    </w:pPr>
    <w:rPr>
      <w:b/>
      <w:bCs/>
    </w:rPr>
  </w:style>
  <w:style w:type="character" w:styleId="743">
    <w:name w:val="Subtle Reference"/>
    <w:basedOn w:val="75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4">
    <w:name w:val="Book Title"/>
    <w:basedOn w:val="75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5">
    <w:name w:val="Header Char"/>
    <w:basedOn w:val="759"/>
    <w:link w:val="781"/>
    <w:uiPriority w:val="99"/>
    <w:pPr>
      <w:pBdr/>
      <w:spacing/>
      <w:ind/>
    </w:pPr>
  </w:style>
  <w:style w:type="character" w:styleId="746">
    <w:name w:val="Footnote Text Char"/>
    <w:basedOn w:val="759"/>
    <w:link w:val="914"/>
    <w:uiPriority w:val="99"/>
    <w:semiHidden/>
    <w:pPr>
      <w:pBdr/>
      <w:spacing/>
      <w:ind/>
    </w:pPr>
    <w:rPr>
      <w:sz w:val="20"/>
      <w:szCs w:val="20"/>
    </w:rPr>
  </w:style>
  <w:style w:type="character" w:styleId="747">
    <w:name w:val="Endnote Text Char"/>
    <w:basedOn w:val="759"/>
    <w:link w:val="917"/>
    <w:uiPriority w:val="99"/>
    <w:semiHidden/>
    <w:pPr>
      <w:pBdr/>
      <w:spacing/>
      <w:ind/>
    </w:pPr>
    <w:rPr>
      <w:sz w:val="20"/>
      <w:szCs w:val="20"/>
    </w:rPr>
  </w:style>
  <w:style w:type="character" w:styleId="748">
    <w:name w:val="FollowedHyperlink"/>
    <w:basedOn w:val="75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9" w:default="1">
    <w:name w:val="Normal"/>
    <w:qFormat/>
    <w:pPr>
      <w:pBdr/>
      <w:spacing/>
      <w:ind/>
    </w:pPr>
  </w:style>
  <w:style w:type="paragraph" w:styleId="750">
    <w:name w:val="Heading 1"/>
    <w:basedOn w:val="749"/>
    <w:next w:val="749"/>
    <w:link w:val="76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51">
    <w:name w:val="Heading 2"/>
    <w:basedOn w:val="749"/>
    <w:next w:val="749"/>
    <w:link w:val="76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52">
    <w:name w:val="Heading 3"/>
    <w:basedOn w:val="749"/>
    <w:next w:val="749"/>
    <w:link w:val="76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53">
    <w:name w:val="Heading 4"/>
    <w:basedOn w:val="749"/>
    <w:next w:val="749"/>
    <w:link w:val="7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749"/>
    <w:next w:val="749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749"/>
    <w:next w:val="749"/>
    <w:link w:val="7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56">
    <w:name w:val="Heading 7"/>
    <w:basedOn w:val="749"/>
    <w:next w:val="749"/>
    <w:link w:val="76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57">
    <w:name w:val="Heading 8"/>
    <w:basedOn w:val="749"/>
    <w:next w:val="749"/>
    <w:link w:val="7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58">
    <w:name w:val="Heading 9"/>
    <w:basedOn w:val="749"/>
    <w:next w:val="749"/>
    <w:link w:val="77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 w:default="1">
    <w:name w:val="Default Paragraph Font"/>
    <w:uiPriority w:val="1"/>
    <w:semiHidden/>
    <w:unhideWhenUsed/>
    <w:pPr>
      <w:pBdr/>
      <w:spacing/>
      <w:ind/>
    </w:pPr>
  </w:style>
  <w:style w:type="table" w:styleId="76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1" w:default="1">
    <w:name w:val="No List"/>
    <w:uiPriority w:val="99"/>
    <w:semiHidden/>
    <w:unhideWhenUsed/>
    <w:pPr>
      <w:pBdr/>
      <w:spacing/>
      <w:ind/>
    </w:pPr>
  </w:style>
  <w:style w:type="character" w:styleId="762" w:customStyle="1">
    <w:name w:val="Заголовок 1 Знак"/>
    <w:basedOn w:val="759"/>
    <w:link w:val="7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3" w:customStyle="1">
    <w:name w:val="Заголовок 2 Знак"/>
    <w:basedOn w:val="759"/>
    <w:link w:val="75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4" w:customStyle="1">
    <w:name w:val="Заголовок 3 Знак"/>
    <w:basedOn w:val="759"/>
    <w:link w:val="75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5" w:customStyle="1">
    <w:name w:val="Заголовок 4 Знак"/>
    <w:basedOn w:val="759"/>
    <w:link w:val="75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6" w:customStyle="1">
    <w:name w:val="Заголовок 5 Знак"/>
    <w:basedOn w:val="759"/>
    <w:link w:val="75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7" w:customStyle="1">
    <w:name w:val="Заголовок 6 Знак"/>
    <w:basedOn w:val="759"/>
    <w:link w:val="75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Заголовок 7 Знак"/>
    <w:basedOn w:val="759"/>
    <w:link w:val="75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Заголовок 8 Знак"/>
    <w:basedOn w:val="759"/>
    <w:link w:val="75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Заголовок 9 Знак"/>
    <w:basedOn w:val="759"/>
    <w:link w:val="75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749"/>
    <w:uiPriority w:val="34"/>
    <w:qFormat/>
    <w:pPr>
      <w:pBdr/>
      <w:spacing/>
      <w:ind w:left="720"/>
      <w:contextualSpacing w:val="true"/>
    </w:pPr>
  </w:style>
  <w:style w:type="paragraph" w:styleId="772">
    <w:name w:val="No Spacing"/>
    <w:uiPriority w:val="1"/>
    <w:qFormat/>
    <w:pPr>
      <w:pBdr/>
      <w:spacing w:after="0" w:line="240" w:lineRule="auto"/>
      <w:ind/>
    </w:pPr>
  </w:style>
  <w:style w:type="paragraph" w:styleId="773">
    <w:name w:val="Title"/>
    <w:basedOn w:val="749"/>
    <w:next w:val="749"/>
    <w:link w:val="77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4" w:customStyle="1">
    <w:name w:val="Назва Знак"/>
    <w:basedOn w:val="759"/>
    <w:link w:val="773"/>
    <w:uiPriority w:val="10"/>
    <w:pPr>
      <w:pBdr/>
      <w:spacing/>
      <w:ind/>
    </w:pPr>
    <w:rPr>
      <w:sz w:val="48"/>
      <w:szCs w:val="48"/>
    </w:rPr>
  </w:style>
  <w:style w:type="paragraph" w:styleId="775">
    <w:name w:val="Subtitle"/>
    <w:basedOn w:val="749"/>
    <w:next w:val="749"/>
    <w:link w:val="77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76" w:customStyle="1">
    <w:name w:val="Підзаголовок Знак"/>
    <w:basedOn w:val="759"/>
    <w:link w:val="775"/>
    <w:uiPriority w:val="11"/>
    <w:pPr>
      <w:pBdr/>
      <w:spacing/>
      <w:ind/>
    </w:pPr>
    <w:rPr>
      <w:sz w:val="24"/>
      <w:szCs w:val="24"/>
    </w:rPr>
  </w:style>
  <w:style w:type="paragraph" w:styleId="777">
    <w:name w:val="Quote"/>
    <w:basedOn w:val="749"/>
    <w:next w:val="749"/>
    <w:link w:val="778"/>
    <w:uiPriority w:val="29"/>
    <w:qFormat/>
    <w:pPr>
      <w:pBdr/>
      <w:spacing/>
      <w:ind w:right="720" w:left="720"/>
    </w:pPr>
    <w:rPr>
      <w:i/>
    </w:rPr>
  </w:style>
  <w:style w:type="character" w:styleId="778" w:customStyle="1">
    <w:name w:val="Цитата Знак"/>
    <w:link w:val="777"/>
    <w:uiPriority w:val="29"/>
    <w:pPr>
      <w:pBdr/>
      <w:spacing/>
      <w:ind/>
    </w:pPr>
    <w:rPr>
      <w:i/>
    </w:rPr>
  </w:style>
  <w:style w:type="paragraph" w:styleId="779">
    <w:name w:val="Intense Quote"/>
    <w:basedOn w:val="749"/>
    <w:next w:val="749"/>
    <w:link w:val="7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80" w:customStyle="1">
    <w:name w:val="Насичена цитата Знак"/>
    <w:link w:val="779"/>
    <w:uiPriority w:val="30"/>
    <w:pPr>
      <w:pBdr/>
      <w:spacing/>
      <w:ind/>
    </w:pPr>
    <w:rPr>
      <w:i/>
    </w:rPr>
  </w:style>
  <w:style w:type="paragraph" w:styleId="781">
    <w:name w:val="Header"/>
    <w:basedOn w:val="749"/>
    <w:link w:val="78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2" w:customStyle="1">
    <w:name w:val="Верхній колонтитул Знак"/>
    <w:basedOn w:val="759"/>
    <w:link w:val="781"/>
    <w:uiPriority w:val="99"/>
    <w:pPr>
      <w:pBdr/>
      <w:spacing/>
      <w:ind/>
    </w:pPr>
  </w:style>
  <w:style w:type="paragraph" w:styleId="783">
    <w:name w:val="Footer"/>
    <w:basedOn w:val="749"/>
    <w:link w:val="7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4" w:customStyle="1">
    <w:name w:val="Footer Char"/>
    <w:basedOn w:val="759"/>
    <w:uiPriority w:val="99"/>
    <w:pPr>
      <w:pBdr/>
      <w:spacing/>
      <w:ind/>
    </w:pPr>
  </w:style>
  <w:style w:type="paragraph" w:styleId="785">
    <w:name w:val="Caption"/>
    <w:basedOn w:val="749"/>
    <w:next w:val="749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786" w:customStyle="1">
    <w:name w:val="Нижній колонтитул Знак"/>
    <w:link w:val="783"/>
    <w:uiPriority w:val="99"/>
    <w:pPr>
      <w:pBdr/>
      <w:spacing/>
      <w:ind/>
    </w:pPr>
  </w:style>
  <w:style w:type="table" w:styleId="787">
    <w:name w:val="Table Grid"/>
    <w:basedOn w:val="760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Table Grid Light"/>
    <w:basedOn w:val="76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1"/>
    <w:basedOn w:val="76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2"/>
    <w:basedOn w:val="760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1 Light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4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1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2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3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4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5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6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5 Dark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6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7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1 Light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5 Dark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6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7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1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2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3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4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5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6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1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2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3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4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5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6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3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14">
    <w:name w:val="footnote text"/>
    <w:basedOn w:val="749"/>
    <w:link w:val="91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15" w:customStyle="1">
    <w:name w:val="Текст виноски Знак"/>
    <w:link w:val="914"/>
    <w:uiPriority w:val="99"/>
    <w:pPr>
      <w:pBdr/>
      <w:spacing/>
      <w:ind/>
    </w:pPr>
    <w:rPr>
      <w:sz w:val="18"/>
    </w:rPr>
  </w:style>
  <w:style w:type="character" w:styleId="916">
    <w:name w:val="footnote reference"/>
    <w:basedOn w:val="759"/>
    <w:uiPriority w:val="99"/>
    <w:unhideWhenUsed/>
    <w:pPr>
      <w:pBdr/>
      <w:spacing/>
      <w:ind/>
    </w:pPr>
    <w:rPr>
      <w:vertAlign w:val="superscript"/>
    </w:rPr>
  </w:style>
  <w:style w:type="paragraph" w:styleId="917">
    <w:name w:val="endnote text"/>
    <w:basedOn w:val="749"/>
    <w:link w:val="91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18" w:customStyle="1">
    <w:name w:val="Текст кінцевої виноски Знак"/>
    <w:link w:val="917"/>
    <w:uiPriority w:val="99"/>
    <w:pPr>
      <w:pBdr/>
      <w:spacing/>
      <w:ind/>
    </w:pPr>
    <w:rPr>
      <w:sz w:val="20"/>
    </w:rPr>
  </w:style>
  <w:style w:type="character" w:styleId="919">
    <w:name w:val="endnote reference"/>
    <w:basedOn w:val="759"/>
    <w:uiPriority w:val="99"/>
    <w:semiHidden/>
    <w:unhideWhenUsed/>
    <w:pPr>
      <w:pBdr/>
      <w:spacing/>
      <w:ind/>
    </w:pPr>
    <w:rPr>
      <w:vertAlign w:val="superscript"/>
    </w:rPr>
  </w:style>
  <w:style w:type="paragraph" w:styleId="920">
    <w:name w:val="toc 1"/>
    <w:basedOn w:val="749"/>
    <w:next w:val="749"/>
    <w:uiPriority w:val="39"/>
    <w:unhideWhenUsed/>
    <w:pPr>
      <w:pBdr/>
      <w:spacing w:after="57"/>
      <w:ind/>
    </w:pPr>
  </w:style>
  <w:style w:type="paragraph" w:styleId="921">
    <w:name w:val="toc 2"/>
    <w:basedOn w:val="749"/>
    <w:next w:val="749"/>
    <w:uiPriority w:val="39"/>
    <w:unhideWhenUsed/>
    <w:pPr>
      <w:pBdr/>
      <w:spacing w:after="57"/>
      <w:ind w:left="283"/>
    </w:pPr>
  </w:style>
  <w:style w:type="paragraph" w:styleId="922">
    <w:name w:val="toc 3"/>
    <w:basedOn w:val="749"/>
    <w:next w:val="749"/>
    <w:uiPriority w:val="39"/>
    <w:unhideWhenUsed/>
    <w:pPr>
      <w:pBdr/>
      <w:spacing w:after="57"/>
      <w:ind w:left="567"/>
    </w:pPr>
  </w:style>
  <w:style w:type="paragraph" w:styleId="923">
    <w:name w:val="toc 4"/>
    <w:basedOn w:val="749"/>
    <w:next w:val="749"/>
    <w:uiPriority w:val="39"/>
    <w:unhideWhenUsed/>
    <w:pPr>
      <w:pBdr/>
      <w:spacing w:after="57"/>
      <w:ind w:left="850"/>
    </w:pPr>
  </w:style>
  <w:style w:type="paragraph" w:styleId="924">
    <w:name w:val="toc 5"/>
    <w:basedOn w:val="749"/>
    <w:next w:val="749"/>
    <w:uiPriority w:val="39"/>
    <w:unhideWhenUsed/>
    <w:pPr>
      <w:pBdr/>
      <w:spacing w:after="57"/>
      <w:ind w:left="1134"/>
    </w:pPr>
  </w:style>
  <w:style w:type="paragraph" w:styleId="925">
    <w:name w:val="toc 6"/>
    <w:basedOn w:val="749"/>
    <w:next w:val="749"/>
    <w:uiPriority w:val="39"/>
    <w:unhideWhenUsed/>
    <w:pPr>
      <w:pBdr/>
      <w:spacing w:after="57"/>
      <w:ind w:left="1417"/>
    </w:pPr>
  </w:style>
  <w:style w:type="paragraph" w:styleId="926">
    <w:name w:val="toc 7"/>
    <w:basedOn w:val="749"/>
    <w:next w:val="749"/>
    <w:uiPriority w:val="39"/>
    <w:unhideWhenUsed/>
    <w:pPr>
      <w:pBdr/>
      <w:spacing w:after="57"/>
      <w:ind w:left="1701"/>
    </w:pPr>
  </w:style>
  <w:style w:type="paragraph" w:styleId="927">
    <w:name w:val="toc 8"/>
    <w:basedOn w:val="749"/>
    <w:next w:val="749"/>
    <w:uiPriority w:val="39"/>
    <w:unhideWhenUsed/>
    <w:pPr>
      <w:pBdr/>
      <w:spacing w:after="57"/>
      <w:ind w:left="1984"/>
    </w:pPr>
  </w:style>
  <w:style w:type="paragraph" w:styleId="928">
    <w:name w:val="toc 9"/>
    <w:basedOn w:val="749"/>
    <w:next w:val="749"/>
    <w:uiPriority w:val="39"/>
    <w:unhideWhenUsed/>
    <w:pPr>
      <w:pBdr/>
      <w:spacing w:after="57"/>
      <w:ind w:left="2268"/>
    </w:pPr>
  </w:style>
  <w:style w:type="paragraph" w:styleId="929">
    <w:name w:val="TOC Heading"/>
    <w:uiPriority w:val="39"/>
    <w:unhideWhenUsed/>
    <w:pPr>
      <w:pBdr/>
      <w:spacing/>
      <w:ind/>
    </w:pPr>
  </w:style>
  <w:style w:type="paragraph" w:styleId="930">
    <w:name w:val="table of figures"/>
    <w:basedOn w:val="749"/>
    <w:next w:val="749"/>
    <w:uiPriority w:val="99"/>
    <w:unhideWhenUsed/>
    <w:pPr>
      <w:pBdr/>
      <w:spacing w:after="0"/>
      <w:ind/>
    </w:pPr>
  </w:style>
  <w:style w:type="paragraph" w:styleId="931" w:customStyle="1">
    <w:name w:val="docdata"/>
    <w:basedOn w:val="74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932">
    <w:name w:val="Normal (Web)"/>
    <w:basedOn w:val="749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Четвертакова Наталія Вікторівна</cp:lastModifiedBy>
  <cp:revision>8</cp:revision>
  <dcterms:created xsi:type="dcterms:W3CDTF">2025-01-20T09:08:00Z</dcterms:created>
  <dcterms:modified xsi:type="dcterms:W3CDTF">2025-01-24T09:46:55Z</dcterms:modified>
</cp:coreProperties>
</file>