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95"/>
        <w:pBdr/>
        <w:spacing w:after="0" w:afterAutospacing="0" w:before="0" w:beforeAutospacing="0"/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</w:t>
      </w:r>
      <w:r>
        <w:rPr>
          <w:sz w:val="28"/>
          <w:szCs w:val="28"/>
          <w:lang w:val="uk-UA"/>
        </w:rPr>
      </w:r>
    </w:p>
    <w:p>
      <w:pPr>
        <w:pStyle w:val="695"/>
        <w:pBdr/>
        <w:spacing w:after="0" w:afterAutospacing="0" w:before="0" w:beforeAutospacing="0"/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Протоколу 57 сесії Менської міської ради 8 скликання</w:t>
      </w:r>
      <w:r>
        <w:rPr>
          <w:sz w:val="28"/>
          <w:szCs w:val="28"/>
          <w:lang w:val="uk-UA"/>
        </w:rPr>
      </w:r>
    </w:p>
    <w:p>
      <w:pPr>
        <w:pStyle w:val="695"/>
        <w:pBdr/>
        <w:spacing w:after="0" w:afterAutospacing="0" w:before="0" w:beforeAutospacing="0"/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січня 2025 року</w:t>
      </w:r>
      <w:r>
        <w:rPr>
          <w:sz w:val="28"/>
          <w:szCs w:val="28"/>
          <w:lang w:val="uk-UA"/>
        </w:rPr>
      </w:r>
    </w:p>
    <w:p>
      <w:pPr>
        <w:pStyle w:val="695"/>
        <w:pBdr/>
        <w:spacing w:after="0" w:afterAutospacing="0" w:before="0" w:beforeAutospacing="0"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695"/>
        <w:pBdr/>
        <w:spacing w:after="0" w:afterAutospacing="0" w:before="0" w:beforeAutospacing="0"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Доповідь</w:t>
      </w:r>
      <w:r>
        <w:rPr>
          <w:sz w:val="28"/>
          <w:szCs w:val="28"/>
          <w:lang w:val="uk-UA"/>
        </w:rPr>
      </w:r>
    </w:p>
    <w:p>
      <w:pPr>
        <w:pStyle w:val="695"/>
        <w:pBdr/>
        <w:spacing w:after="0" w:afterAutospacing="0" w:before="0" w:beforeAutospacing="0"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Нерослик Алли Петрівни про внесення змін </w:t>
      </w:r>
      <w:r>
        <w:rPr>
          <w:sz w:val="28"/>
          <w:szCs w:val="28"/>
          <w:lang w:val="uk-UA"/>
        </w:rPr>
        <w:t xml:space="preserve">до рішення 56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сесії </w:t>
      </w:r>
      <w:r>
        <w:rPr>
          <w:sz w:val="28"/>
          <w:szCs w:val="28"/>
          <w:lang w:val="uk-UA"/>
        </w:rPr>
      </w:r>
    </w:p>
    <w:p>
      <w:pPr>
        <w:pStyle w:val="695"/>
        <w:pBdr/>
        <w:spacing w:after="0" w:afterAutospacing="0" w:before="0" w:beforeAutospacing="0"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Менської міської ради 8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скликання від 19 грудня 2024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року № 750</w:t>
      </w:r>
      <w:r>
        <w:rPr>
          <w:sz w:val="28"/>
          <w:szCs w:val="28"/>
          <w:lang w:val="uk-UA"/>
        </w:rPr>
      </w:r>
      <w:r/>
    </w:p>
    <w:p>
      <w:pPr>
        <w:pStyle w:val="695"/>
        <w:pBdr/>
        <w:spacing w:after="0" w:afterAutospacing="0" w:before="0" w:beforeAutospacing="0"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питання </w:t>
      </w:r>
      <w:r>
        <w:rPr>
          <w:sz w:val="28"/>
          <w:szCs w:val="28"/>
          <w:lang w:val="uk-UA"/>
        </w:rPr>
      </w:r>
    </w:p>
    <w:p>
      <w:pPr>
        <w:pStyle w:val="695"/>
        <w:pBdr/>
        <w:spacing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01. </w:t>
      </w:r>
      <w:r>
        <w:rPr>
          <w:sz w:val="28"/>
          <w:szCs w:val="28"/>
          <w:lang w:val="uk-UA"/>
        </w:rPr>
        <w:t xml:space="preserve">Про внесення змін до рішення 56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сесії Менської міської ради 8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скликання від 19 грудня 2024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року № 750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Відповідно до положень Бюджетного кодексу України, ст. 26 Закону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України «Про місцеве самоврядування в Україні», рішення № 750 «Про бюджет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Менської міської територіальної громади на 2025 рік (код бюджету 2551700000)»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від 19.12.2024 року, за погодженням постійної комісії з питань планування,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фінансів, бюджету, соціально-економічного розвитку, житлово-комунального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господарства та комунального майна Менської міської ради та враховуючи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рекомендації інших комісій: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Збільшити дохідну частину загального фонду бюджету Менської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територіальної громади в сумі 240000,00 грн (інша субвенція з місцевого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бюджету, кошти Березнянської селищної ради - код доходів 41053900),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відповідно збільшити видаткову частину загального фонду Відділу соціального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захисту населення та охорони здоров’я Менської міської ради по первинній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медичній допомозі населенню, що надається центрами первинної медичної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(медико-санітарної) допомоги в частині видатків на субсидії та поточні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трансферти підприємствам (установам, організаціям) в сумі 240000,00 грн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фінансування комплексної програми підтримки та розвитку медичної допомоги,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що надається в Менській міській територіальній громаді, на 2025-2027 роки.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(КПКВК 0812111 КЕКВ 2610+240000,00 грн)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Збільшити дохідну частину загального фонду бюджету Менської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територіальної громади в сумі 3622800,00 грн (субвенція з державного бюджету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місцевим бюджетам на здійснення доплат педагогічним працівникам закладів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загальної середньої освіти - код доходів 41036300), відповідно збільшити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видаткову частину загального фонду Відділу освіти Менської міської ради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здійснення доплат педагогічним працівникам закладів загальної середньої освіти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 рахунок субвенції з державного бюджету місцевим бюджетам в частині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видатків на заробітну плату в сумі 2970000,00 грн та на нарахування на оплату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праці в сумі 652800,00 грн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(КПКВК 0611600 КЕКВ 2111+2970000,00 грн, КЕКВ 2120+652800,00 грн)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Збільшити дохідну частину загального фонду бюджету Менської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територіальної громади в сумі 1268000,00 грн (субвенція з державного бюджету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місцевим бюджетам на реалізацію публічного інвестиційного проекту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забезпечення якісної, сучасної та доступної загальної середньої освіти </w:t>
      </w:r>
      <w:r>
        <w:rPr>
          <w:sz w:val="28"/>
          <w:szCs w:val="28"/>
          <w:lang w:val="uk-UA"/>
        </w:rPr>
        <w:t xml:space="preserve">«</w:t>
      </w:r>
      <w:r>
        <w:rPr>
          <w:sz w:val="28"/>
          <w:szCs w:val="28"/>
        </w:rPr>
        <w:t xml:space="preserve">Нова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українська школа</w:t>
      </w:r>
      <w:r>
        <w:rPr>
          <w:sz w:val="28"/>
          <w:szCs w:val="28"/>
          <w:lang w:val="uk-UA"/>
        </w:rPr>
        <w:t xml:space="preserve">»</w:t>
      </w:r>
      <w:r>
        <w:rPr>
          <w:sz w:val="28"/>
          <w:szCs w:val="28"/>
        </w:rPr>
        <w:t xml:space="preserve"> - код доходів 41036000), відповідно збільшити видаткову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частину спеціального фонду Відділу освіти Менської міської ради на виконання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заходів, спрямованих на реалізацію публічного інвестиційного про</w:t>
      </w:r>
      <w:r>
        <w:rPr>
          <w:sz w:val="28"/>
          <w:szCs w:val="28"/>
          <w:lang w:val="uk-UA"/>
        </w:rPr>
        <w:t xml:space="preserve">є</w:t>
      </w:r>
      <w:r>
        <w:rPr>
          <w:sz w:val="28"/>
          <w:szCs w:val="28"/>
        </w:rPr>
        <w:t xml:space="preserve">кту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забезпечення якісної, сучасної та доступної загальної середньої освіти «Нова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українська школа» за рахунок субвенції з державного бюджету місцевим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бюджетам в частині видатків на придбання обладнання і предметів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довгострокового користування (на закупівлю засобів навчання та обладнання,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комп’ютерного та мультимедійного обладнання для навчальних кабінетів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закладів загальної середньої освіти комунальної форми власності, які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здійснюють освітній процес відповідно до Державного стандарту базової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середньої освіти в другому циклі середньої освіти (базове предметне навчання)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 очною формою, з поєднанням очної та дистанційної форми здобуття освіти).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(КПКВК 0611184 КЕКВ 3110+1268000,00 грн)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Збільшити дохідну частину загального фонду бюджету Менської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територіальної громади в сумі 279600,00 грн (Субвенція з державного бюджету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місцевим бюджетам на надання державної підтримки особам з особливими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освітніми потребами - код доходів 41035400), відповідно збільшити видаткову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частину загального фонду Відділу освіти Менської міської ради на проведення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(надання) додаткових психолого-педагогічних і корекційно-розвиткових занять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(послуг) за рахунок субвенції з державного бюджету місцевим бюджетам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надання державної підтримки особам з особливими освітніми потребами 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частині видатків на заробітну плату в сумі 230000,00 грн та на нарахування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оплату праці в сумі 49600,00 грн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(КПКВК 0611200 КЕКВ 2111+230000,00 грн, КЕКВ 2120+49600,00 грн)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5. Уточнити залишок спеціального фонду бюджету Менської міської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територіальної громади, що склався станом на 01.01.2025 року в сумі 1894500,00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грн (субвенція з державного бюджету місцевим бюджетам на забезпечення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харчуванням учнів початкових класів закладів загальної середньої освіти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код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доходів 41033300), кошти направити на збільшення видаткової частини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спеціального фонду Відділу освіти Менської міської ради на забезпечення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харчуванням учнів початкових класів закладів загальної середньої освіти за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рахунок субвенції з державного бюджету місцевим бюджетам в частині видатк</w:t>
      </w:r>
      <w:r>
        <w:rPr>
          <w:sz w:val="28"/>
          <w:szCs w:val="28"/>
          <w:lang w:val="uk-UA"/>
        </w:rPr>
        <w:t xml:space="preserve">і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продукти харчування.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(КПКВК 0611403 КЕКВ 2230+1894500,00 грн)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6. Уточнити залишок спеціального фонду бюджету Менської міської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територіальної громади, що склався станом на 01.01.2025 року в сумі 331700,00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грн (субвенція з державного бюджету місцевим бюджетам на покращення якості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гарячого харчування учнів початкових класів закладів загальної середньої освіти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код доходів 41037400), кошти направити на збільшення видаткової частини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спеціального фонду Відділу освіти Менської міської ради на виконання заходів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 рахунок субвенції з державного бюджету місцевим бюджетам на покращення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якості гарячого харчування учнів початкових класів закладів загальної середньої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освіти в частині видатків на продукти харчування.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(КПКВК 0611700 КЕКВ 2230+331700,00 грн)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7. Уточнити залишок спеціального фонду бюджету Менської міської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територіальної громади, що склався станом на 01.01.2025 року в сумі 821433,60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грн (субвенція з місцевого бюджету за рахунок залишку коштів освітньої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субвенції, що утворився на початок бюджетного періоду - код доходів 41051100),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кошти направити на збільшення видаткової частини спеціального фонду Відділу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освіти Менської міської ради з реалізації заходів за рахунок залишку коштів за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освітньою субвенцією на кінець бюджетного періоду, що мають цільове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призначення, виділених відповідно до рішень Кабінету Міністрів України 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попередніх бюджетних періодах (за спеціальним фондом державного бюджету),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 саме: для придбання предметів, матеріалів, обладнання та інвентарю на суму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267676,00 грн та для придбання обладнання і предметів довгострокового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користування на суму 553757,60 грн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(КПКВК 0611292 КЕКВ 2210 +2676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</w:rPr>
        <w:t xml:space="preserve">76,00 грн, КЕКВ 3110 +553757,60 грн).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8. Уточнити залишок спеціального фонду бюджету Менської міської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територіальної громади в сумі 6363543,03 грн, що склався станом на 01.01.2025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року (код доходів 41059200- Субвенція з місцевого бюджету на проектування,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відновлення, будівництво, модернізацію, облаштування, ремонт об'єктів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будівництва громадського призначення, соціальної сфери, культурної спадщини,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житлово-комунального господарства, інших об'єктів, що мають вплив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життєдіяльність населення, за рахунок відповідної субвенції з державного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бюджету), кошти направити на збільшення видаткової частини спеціального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фонду: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Менської міської ради по реалізації проектів і заходів за рахунок залишку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коштів спеціального фонду державного бюджету, що утворилися станом на 01</w:t>
      </w:r>
      <w:r>
        <w:rPr>
          <w:sz w:val="28"/>
          <w:szCs w:val="28"/>
          <w:lang w:val="uk-UA"/>
        </w:rPr>
        <w:t xml:space="preserve"> </w:t>
      </w:r>
      <w:r>
        <w:rPr>
          <w:sz w:val="28"/>
          <w:szCs w:val="28"/>
        </w:rPr>
        <w:t xml:space="preserve">січня 2023 року, джерелом формування яких були кредити (позики) від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Європейського інвестиційного банку в частині видатків на реконструкцію 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реставрацію інших об’єктів в сумі 5613543,03 («Реконструкція нежитлової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будівлі з розміщенням Центру надання адміністративних послуг по вул. Героїв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АТО, 9 в м. Мена Чернігівської області» (коригування 3));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Відділу освіти Менської міської ради по реалізації проектів і заходів за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рахунок залишку коштів спеціального фонду державного бюджету, що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утворилися станом на 01 січня 2023 року, джерелом формування яких були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кредити (позики) від Європейського інвестиційного банку в частині видатків на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капітальне будівництво (придбання) інших об'єктів в сумі 750000,00 грн-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Виготовлення (корегування) проектно-кошторисної документації по проєкту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«Нове будівництво протирадіаційного укриття (ПРУ) на території Менського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опорного ЗЗСО І-ІІІ ступенів ім. Т.Г. Шевченка по вул. Чернігівський шлях, 11»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(КПКВК 0117384 КЕКВ 3142 +5613543,03 грн, КПКВК 0617384 КЕКВ 3122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+750000,00 грн)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9. Уточнити залишок загального фонду бюджету Менської міської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територіальної громади, що склався станом на 01.01.2025 року в сумі 1835076,00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грн (залишок загального фонду без трансфертів), кошти направити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збільшення видаткової частини, а саме: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спеціального фонду Менської міської ради по апарату управління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реконструкцію та реставрацію інших об’єктів в сумі 584534,00 грн </w:t>
      </w:r>
      <w:r>
        <w:rPr>
          <w:sz w:val="28"/>
          <w:szCs w:val="28"/>
        </w:rPr>
        <w:t xml:space="preserve">( для</w:t>
      </w:r>
      <w:r>
        <w:rPr>
          <w:sz w:val="28"/>
          <w:szCs w:val="28"/>
        </w:rPr>
        <w:t xml:space="preserve"> оплати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робіт, технічного та авторського нагляду по об’єкту: «Реконструкція нежитлової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будівлі з розміщенням Центру надання адміністративних послуг по вул. Героїв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АТО, 9 в м. Мена Чернігівської області (коригування 3)»;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(КПКВК 0110150 КЕКВ 3142+584534,00 грн)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спеціального фонду Відділу освіти Менської міської ради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співфінансування заходів, що реалізуються за рахунок субвенції з державного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бюджету місцевим бюджетам на реалізацію публічного інвестиційного проекту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придбання обладнання, створення та модернізацію (проведення реконструкції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та капітального ремонту) їдалень (харчоблоків) закладів освіти, зокрема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військових (військово-морських, військово-спортивних) ліцеїв, ліцеїв із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посиленою військово-фізичною підготовкою в сумі 1227542,00 грн ( з метою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реалізації проєкту «Реконструкція частини нежитлового приміщення під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харчоблок Менського опорного ЗЗСО І-ІІІ ступенів ім. Т.Г. Шевченка по вул.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Чернігівський шлях, 11 Корюківського району, Чернігівської області» (загальна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сума проєкту складає 12275416,00 грн) по Менському опорному ЗЗСО І-ІІІ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ступенів ім. Т.Г. Шевченка Менської міської ради, обов’язковою умовою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фінансування за рахунок субвенції є попереднє спрямування коштів місцевих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бюджетів за цільовим призначенням у частині співфінансування);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(КПКВК 0611241 КЕКВ 3142 +1227542,00 грн)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загального фонду Відділу освіти Менської міської ради на забезпечення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діяльності інклюзивно-ресурсних центрів за рахунок коштів місцевого бюджету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 сумі 9000,00 грн в частині видатків на нарахування на заробітну плату (з метою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недопущення заборгованості);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(КПКВК 0611151 КЕКВ 2120+9000,00 грн)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загального фонду Фінансового управління Менської міської ради по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апарату управління в сумі 14000,00 грн в частині видатків на нарахування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заробітну плату (з метою недопущення заборгованості);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(КПКВК 3710160 КЕКВ 2120+14000,00 грн);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10. Внести зміни до річного розпису Відділу освіти Менської міської ради,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 саме: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зменшити видатки загального фонду Відділу освіти Менської міської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 наданню загальної середньої освіти закладами загальної середньої освіти за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рахунок коштів місцевого бюджету в сумі 828922,00 грн в частині видатків на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оплату послуг;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(КПКВК 0611021 КЕКВ 2240 -828922,00 грн)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збільшити видатки спеціального фонду Відділу освіти Менської міської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ради по наданню загальної середньої освіти закладами загальної середньої освіти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 рахунок коштів місцевого бюджету в сумі 336760,00 грн, а саме: в частині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видатків на капітальний ремонт інших об’єктів в сумі 120000,00 грн ( ПКД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«капітальний ремонт «Встановлення системи блискавкозахисту на будівлі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Менського опорного закладу загальної середньої освіти І-ІІІ ступенів імені Т.Г.</w:t>
      </w:r>
      <w:r>
        <w:rPr>
          <w:sz w:val="28"/>
          <w:szCs w:val="28"/>
          <w:lang w:val="uk-UA"/>
        </w:rPr>
        <w:t xml:space="preserve"> </w:t>
      </w:r>
      <w:r>
        <w:rPr>
          <w:sz w:val="28"/>
          <w:szCs w:val="28"/>
        </w:rPr>
        <w:t xml:space="preserve">Шевченка Менської міської ради Корюківського району Чернігівської </w:t>
      </w:r>
      <w:r>
        <w:rPr>
          <w:sz w:val="28"/>
          <w:szCs w:val="28"/>
        </w:rPr>
        <w:t xml:space="preserve">області за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адресою: Чернігівська область, Корюківський р-н, м. Мена, вул. Чернігівський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шлях, буд.11» (Коригування) в сумі 60000,00 грн та ПКД «Капітальний ремонт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Встановлення блискавкозахисту» по Опорному закладу Менська гімназія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Менської міської ради в сумі 60000,00 грн)), в частині видатків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реконструкцію та реставрацію інших об’єктів в сумі 276760,00 грн </w:t>
      </w:r>
      <w:r>
        <w:rPr>
          <w:sz w:val="28"/>
          <w:szCs w:val="28"/>
        </w:rPr>
        <w:t xml:space="preserve">( ПКД</w:t>
      </w:r>
      <w:r>
        <w:rPr>
          <w:sz w:val="28"/>
          <w:szCs w:val="28"/>
        </w:rPr>
        <w:t xml:space="preserve"> «Реконструкція частини нежитлового приміщення під харчоблок менського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опорного ЗЗСО І-ІІІ ступенів ім. Т.Г. Шевченка по вул. Чернігівський шлях, 11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Корюківського району, Чернігівської області»);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(КПКВК 0611021 КЕКВ 3132+120000,00 грн, КЕКВ 3142+276760,00 грн)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збільшити видатки спецільного фонду Відділу освіти Менської міської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ради на будівництво-1 освітніх установ та закладів в сумі 200000,00 грн в частині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видатків на капітальне будівництво (придбання) інших об'єктів в сумі 200000,00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грн (ПКД «Нове будівництво протирадіаційного укриття (ПРУ) на території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Менського опорного ЗЗСО І-ІІІ ступенів ім. Т.Г. Шевченка по вул. Чернігівський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шлях, 11» в частині співфінансування)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(КПКВК 0611300 КЕКВ 3122+200000,00 грн)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збільшити видаткову частину спеціального фонду Відділу освіти Менської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міської ради на співфінансування заходів, що реалізуються за рахунок субвенції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 державного бюджету місцевим бюджетам на реалізацію публічного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інвестиційного проекту на забезпечення якісної, сучасної та доступної загальної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середньої освіти «Нова українська школа» в частині видатків на придбання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обладнання і предметів довгострокового користування в сумі 140890,00 грн;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(КПКВК 0611183 КЕКВ 3110 +140890,00 грн)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збільшити видаткову частину спеціального фонду на співфінансування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заходів, що реалізуються за рахунок залишку коштів за освітньою субвенцією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кінець бюджетного періоду, що мають цільове призначення, виділених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відповідно до рішень Кабінету Міністрів України у попередніх бюджетних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періодах (за спеціальним фондом державного бюджету) в сумі 61530,00,00 грн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 частині видатків на придбання обладнання і предметів довгострокового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користування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(КПКВК 0611291 КЕКВ 3110+61530,00 грн)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збільшити видаткову частину загального фонду на співфінансування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заходів, що реалізуються за рахунок залишку коштів за освітньою субвенцією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кінець бюджетного періоду, що мають цільове призначення, виділених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відповідно до рішень Кабінету Міністрів України у попередніх бюджетних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періодах (за спеціальним фондом державного бюджету) в сумі 29742,00,00 грн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 частині видатків на предмети, матеріали, обладнання та інвентар;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(КПКВК 0611291 КЕКВ 2210+29742,00 грн)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11. Внести зміни до річного розпису Відділу освіти Менської міської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ради на надання позашкільної освіти закладами позашкільної освіти, заходи із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позашкільної роботи з дітьми, а саме: зменшити видатки загального фонду 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сумі 25633,00 грн в частині видатків на оплату послуг, збільшивши видаткову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частину спеціального фонду в сумі 25633,00 грн на реконструкцію 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реставрацію інших </w:t>
      </w:r>
      <w:r>
        <w:rPr>
          <w:sz w:val="28"/>
          <w:szCs w:val="28"/>
        </w:rPr>
        <w:t xml:space="preserve">об’єктів </w:t>
      </w:r>
      <w:r>
        <w:rPr>
          <w:sz w:val="28"/>
          <w:szCs w:val="28"/>
        </w:rPr>
        <w:t xml:space="preserve">( «</w:t>
      </w:r>
      <w:r>
        <w:rPr>
          <w:sz w:val="28"/>
          <w:szCs w:val="28"/>
        </w:rPr>
        <w:t xml:space="preserve">Реконструкції системи газопостачання за адресою: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вулиця Семашка 1А місто Мена» )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(КПКВК 0611070 КЕКВ 2240 -25633,00 грн, КЕКВ 3142+25633,00 грн)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12. Внести зміни до річного розпису Менської міської ради по апарату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управління, а саме: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зменшити видатки загального фонду в сумі 1400000,00 грн в частині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видатків на оплату послуг;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збільшити видаткову частину спеціального фонду в сумі 1400000,00 грн 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частині видатків на реконструкцію та реставрацію інших об’єктів </w:t>
      </w:r>
      <w:r>
        <w:rPr>
          <w:sz w:val="28"/>
          <w:szCs w:val="28"/>
        </w:rPr>
        <w:t xml:space="preserve">( для</w:t>
      </w:r>
      <w:r>
        <w:rPr>
          <w:sz w:val="28"/>
          <w:szCs w:val="28"/>
        </w:rPr>
        <w:t xml:space="preserve"> оплати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робіт, технічного та авторського нагляду по об’єкту: «Реконструкція нежитлової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будівлі з розміщенням Центру надання адміністративних послуг по вул. Героїв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АТО, 9 в м. Мена Чернігівської області (коригування 3)»;</w:t>
      </w:r>
      <w:r>
        <w:rPr>
          <w:sz w:val="28"/>
          <w:szCs w:val="28"/>
        </w:rPr>
      </w:r>
    </w:p>
    <w:p>
      <w:pPr>
        <w:pStyle w:val="695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(КПКВК 0110150 КЕКВ 2240-1400000,00 грн, КЕКВ 3142+1400000,00 грн)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Алла НЕРОСЛИК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sectPr>
      <w:headerReference w:type="default" r:id="rId9"/>
      <w:footnotePr/>
      <w:endnotePr/>
      <w:type w:val="nextPage"/>
      <w:pgSz w:h="16838" w:orient="portrait" w:w="11906"/>
      <w:pgMar w:top="1134" w:right="567" w:bottom="1134" w:left="1701" w:header="708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47410998"/>
      <w:docPartObj>
        <w:docPartGallery w:val="Page Numbers (Top of Page)"/>
        <w:docPartUnique w:val="true"/>
      </w:docPartObj>
      <w:rPr/>
    </w:sdtPr>
    <w:sdtContent>
      <w:p>
        <w:pPr>
          <w:pStyle w:val="696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696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9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9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9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9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91"/>
    <w:next w:val="691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91"/>
    <w:next w:val="69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91"/>
    <w:next w:val="69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91"/>
    <w:next w:val="69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91"/>
    <w:next w:val="69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91"/>
    <w:next w:val="69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91"/>
    <w:next w:val="69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91"/>
    <w:next w:val="69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91"/>
    <w:next w:val="69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92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92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92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92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92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92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92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92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92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91"/>
    <w:next w:val="69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92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91"/>
    <w:next w:val="69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92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91"/>
    <w:next w:val="69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92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91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9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91"/>
    <w:next w:val="69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92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9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9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9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9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9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9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9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92"/>
    <w:link w:val="696"/>
    <w:uiPriority w:val="99"/>
    <w:pPr>
      <w:pBdr/>
      <w:spacing/>
      <w:ind/>
    </w:pPr>
  </w:style>
  <w:style w:type="character" w:styleId="178">
    <w:name w:val="Footer Char"/>
    <w:basedOn w:val="692"/>
    <w:link w:val="698"/>
    <w:uiPriority w:val="99"/>
    <w:pPr>
      <w:pBdr/>
      <w:spacing/>
      <w:ind/>
    </w:pPr>
  </w:style>
  <w:style w:type="paragraph" w:styleId="179">
    <w:name w:val="Caption"/>
    <w:basedOn w:val="691"/>
    <w:next w:val="69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9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92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92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9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92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92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9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9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91"/>
    <w:next w:val="691"/>
    <w:uiPriority w:val="99"/>
    <w:unhideWhenUsed/>
    <w:pPr>
      <w:pBdr/>
      <w:spacing w:after="0" w:afterAutospacing="0"/>
      <w:ind/>
    </w:pPr>
  </w:style>
  <w:style w:type="paragraph" w:styleId="691" w:default="1">
    <w:name w:val="Normal"/>
    <w:qFormat/>
    <w:pPr>
      <w:pBdr/>
      <w:spacing/>
      <w:ind/>
    </w:pPr>
  </w:style>
  <w:style w:type="character" w:styleId="692" w:default="1">
    <w:name w:val="Default Paragraph Font"/>
    <w:uiPriority w:val="1"/>
    <w:semiHidden/>
    <w:unhideWhenUsed/>
    <w:pPr>
      <w:pBdr/>
      <w:spacing/>
      <w:ind/>
    </w:pPr>
  </w:style>
  <w:style w:type="table" w:styleId="69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4" w:default="1">
    <w:name w:val="No List"/>
    <w:uiPriority w:val="99"/>
    <w:semiHidden/>
    <w:unhideWhenUsed/>
    <w:pPr>
      <w:pBdr/>
      <w:spacing/>
      <w:ind/>
    </w:pPr>
  </w:style>
  <w:style w:type="paragraph" w:styleId="695">
    <w:name w:val="Normal (Web)"/>
    <w:basedOn w:val="691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6">
    <w:name w:val="Header"/>
    <w:basedOn w:val="691"/>
    <w:link w:val="697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697" w:customStyle="1">
    <w:name w:val="Верхний колонтитул Знак"/>
    <w:basedOn w:val="692"/>
    <w:link w:val="696"/>
    <w:uiPriority w:val="99"/>
    <w:pPr>
      <w:pBdr/>
      <w:spacing/>
      <w:ind/>
    </w:pPr>
  </w:style>
  <w:style w:type="paragraph" w:styleId="698">
    <w:name w:val="Footer"/>
    <w:basedOn w:val="691"/>
    <w:link w:val="699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699" w:customStyle="1">
    <w:name w:val="Нижний колонтитул Знак"/>
    <w:basedOn w:val="692"/>
    <w:link w:val="698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Четвертакова Наталія Вікторівна</cp:lastModifiedBy>
  <cp:revision>3</cp:revision>
  <dcterms:created xsi:type="dcterms:W3CDTF">2025-01-17T10:16:00Z</dcterms:created>
  <dcterms:modified xsi:type="dcterms:W3CDTF">2025-01-17T14:01:24Z</dcterms:modified>
</cp:coreProperties>
</file>