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D2" w:rsidRDefault="0047225D">
      <w:pPr>
        <w:ind w:firstLine="113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Додаток </w:t>
      </w:r>
    </w:p>
    <w:p w:rsidR="00917BD2" w:rsidRDefault="0047225D">
      <w:pPr>
        <w:ind w:firstLine="113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Акту від 24 грудня 2024  року</w:t>
      </w:r>
    </w:p>
    <w:p w:rsidR="00917BD2" w:rsidRDefault="00917BD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BD2" w:rsidRDefault="00917BD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BD2" w:rsidRDefault="0047225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Розрахунок розміру збитків, заподіяних Менській міській раді гр.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Чулковим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Ю.О.  внаслідок використання земельної ділянки комунальної власності Менської міської ради без правовстановлюючих документів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території Менської міської територіальної громади за період  01 вересня 2023 року по 24 грудня 2024 року</w:t>
      </w:r>
    </w:p>
    <w:p w:rsidR="00917BD2" w:rsidRDefault="0047225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Збитки =(</w:t>
      </w:r>
      <w:r>
        <w:rPr>
          <w:rFonts w:ascii="Times New Roman" w:eastAsia="Times New Roman" w:hAnsi="Times New Roman"/>
          <w:noProof/>
          <w:position w:val="-12"/>
          <w:sz w:val="24"/>
          <w:szCs w:val="24"/>
          <w:lang w:eastAsia="uk-UA"/>
        </w:rPr>
        <mc:AlternateContent>
          <mc:Choice Requires="wpg">
            <w:drawing>
              <wp:inline distT="0" distB="0" distL="0" distR="0">
                <wp:extent cx="304800" cy="30480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24.00pt;height:24.00pt;mso-wrap-distance-left:0.00pt;mso-wrap-distance-top:0.00pt;mso-wrap-distance-right:0.00pt;mso-wrap-distance-bottom:0.00pt;z-index:1;" stroked="f">
                <v:imagedata r:id="rId16" o:title=""/>
                <o:lock v:ext="edit" rotation="t"/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>* НГО)/12*Р,</w:t>
      </w:r>
    </w:p>
    <w:p w:rsidR="00917BD2" w:rsidRDefault="0047225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 НГО – нормативно-грошова оцінка земельної ділянки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</w:p>
    <w:p w:rsidR="00917BD2" w:rsidRDefault="0047225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– частка в % відповідно до цільового призначення земельних ді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лянок визначена рішенням 7 сесії Менської міської ради 8 скликання від 30 червня 2021 року №322; </w:t>
      </w:r>
    </w:p>
    <w:p w:rsidR="00917BD2" w:rsidRDefault="0047225D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–  12 % - землі «для будівництва та обслуговування будівель торгівлі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 (код КВЦПЗ-03.07);</w:t>
      </w:r>
    </w:p>
    <w:p w:rsidR="00917BD2" w:rsidRDefault="0047225D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 – період.</w:t>
      </w:r>
    </w:p>
    <w:p w:rsidR="00917BD2" w:rsidRDefault="0047225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Розрахунок завданих збитків Менській міській раді гр.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Ч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улковим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Ю.О. за період з 01.09.2023 по 24.12.2024 роки</w:t>
      </w:r>
    </w:p>
    <w:p w:rsidR="00917BD2" w:rsidRDefault="00917BD2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30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69"/>
        <w:gridCol w:w="3004"/>
        <w:gridCol w:w="2889"/>
        <w:gridCol w:w="1147"/>
        <w:gridCol w:w="1822"/>
        <w:gridCol w:w="636"/>
        <w:gridCol w:w="1683"/>
        <w:gridCol w:w="1726"/>
        <w:gridCol w:w="1828"/>
      </w:tblGrid>
      <w:tr w:rsidR="00917BD2" w:rsidTr="00920CB9">
        <w:trPr>
          <w:trHeight w:val="30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D2" w:rsidRDefault="004722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D2" w:rsidRDefault="004722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Кадастровий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номер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ділянки</w:t>
            </w:r>
            <w:proofErr w:type="spellEnd"/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D2" w:rsidRDefault="004722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Адреса,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якою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розташований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об'єкт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нерухомого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майна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D2" w:rsidRDefault="004722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Площа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 га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D2" w:rsidRDefault="004722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НГО 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BD2" w:rsidRDefault="004722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D2" w:rsidRDefault="0047225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Період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нарахування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01.09.2023-24.12.2024</w:t>
            </w:r>
          </w:p>
        </w:tc>
      </w:tr>
      <w:tr w:rsidR="00917BD2" w:rsidTr="00920CB9">
        <w:trPr>
          <w:trHeight w:val="28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D2" w:rsidRDefault="00917BD2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D2" w:rsidRDefault="00917BD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D2" w:rsidRDefault="00917BD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D2" w:rsidRDefault="00917BD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D2" w:rsidRDefault="00917BD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7BD2" w:rsidRDefault="00917BD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D2" w:rsidRDefault="004722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01.09.2023-31.12.2023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</w:p>
        </w:tc>
        <w:tc>
          <w:tcPr>
            <w:tcW w:w="17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17BD2" w:rsidRDefault="0047225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01.01.2024-24.12.2024,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</w:p>
        </w:tc>
        <w:tc>
          <w:tcPr>
            <w:tcW w:w="1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BD2" w:rsidRDefault="0047225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сума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01.09.2023 - 24.12.2024,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</w:p>
        </w:tc>
      </w:tr>
      <w:tr w:rsidR="00917BD2" w:rsidTr="00920CB9">
        <w:trPr>
          <w:trHeight w:val="687"/>
        </w:trPr>
        <w:tc>
          <w:tcPr>
            <w:tcW w:w="5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D2" w:rsidRDefault="0047225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0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D2" w:rsidRDefault="0047225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7423010100:01:003:0969</w:t>
            </w:r>
          </w:p>
        </w:tc>
        <w:tc>
          <w:tcPr>
            <w:tcW w:w="2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BD2" w:rsidRDefault="0047225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м. Мена,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Шевченка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90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D2" w:rsidRDefault="0047225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0,4258</w:t>
            </w:r>
          </w:p>
        </w:tc>
        <w:tc>
          <w:tcPr>
            <w:tcW w:w="182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D2" w:rsidRDefault="0047225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1662833,38</w:t>
            </w:r>
          </w:p>
        </w:tc>
        <w:tc>
          <w:tcPr>
            <w:tcW w:w="6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D2" w:rsidRDefault="0047225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6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D2" w:rsidRDefault="0047225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66513,34</w:t>
            </w:r>
          </w:p>
        </w:tc>
        <w:tc>
          <w:tcPr>
            <w:tcW w:w="17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D2" w:rsidRDefault="0047225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195785,18</w:t>
            </w:r>
          </w:p>
        </w:tc>
        <w:tc>
          <w:tcPr>
            <w:tcW w:w="1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D2" w:rsidRDefault="0047225D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262298,52</w:t>
            </w:r>
          </w:p>
        </w:tc>
      </w:tr>
      <w:tr w:rsidR="00917BD2" w:rsidTr="00920CB9">
        <w:trPr>
          <w:trHeight w:val="307"/>
        </w:trPr>
        <w:tc>
          <w:tcPr>
            <w:tcW w:w="5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D2" w:rsidRDefault="0047225D">
            <w:pPr>
              <w:rPr>
                <w:rFonts w:eastAsia="Times New Roman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0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D2" w:rsidRDefault="0047225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2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D2" w:rsidRDefault="0047225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D2" w:rsidRDefault="0047225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2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D2" w:rsidRDefault="0047225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D2" w:rsidRDefault="0047225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D2" w:rsidRDefault="0047225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D2" w:rsidRDefault="0047225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BD2" w:rsidRDefault="0047225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262298,52</w:t>
            </w:r>
          </w:p>
        </w:tc>
      </w:tr>
    </w:tbl>
    <w:p w:rsidR="00920CB9" w:rsidRDefault="00920CB9" w:rsidP="00920CB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CB9" w:rsidRPr="00920CB9" w:rsidRDefault="00920CB9" w:rsidP="00920CB9">
      <w:pPr>
        <w:rPr>
          <w:rFonts w:ascii="Times New Roman" w:eastAsia="MS Mincho" w:hAnsi="Times New Roman"/>
          <w:sz w:val="24"/>
          <w:szCs w:val="24"/>
          <w:lang w:eastAsia="ru-RU"/>
        </w:rPr>
      </w:pPr>
      <w:r w:rsidRPr="00920CB9">
        <w:rPr>
          <w:rFonts w:ascii="Times New Roman" w:eastAsia="Times New Roman" w:hAnsi="Times New Roman"/>
          <w:sz w:val="24"/>
          <w:szCs w:val="24"/>
          <w:lang w:eastAsia="ru-RU"/>
        </w:rPr>
        <w:t>Начальник</w:t>
      </w:r>
      <w:r w:rsidRPr="00920CB9">
        <w:rPr>
          <w:rFonts w:ascii="Times New Roman" w:eastAsia="MS Mincho" w:hAnsi="Times New Roman"/>
          <w:sz w:val="24"/>
          <w:szCs w:val="24"/>
          <w:lang w:eastAsia="ru-RU"/>
        </w:rPr>
        <w:t xml:space="preserve"> відділу земельних відносин, </w:t>
      </w:r>
    </w:p>
    <w:p w:rsidR="00920CB9" w:rsidRPr="00920CB9" w:rsidRDefault="00920CB9" w:rsidP="00920CB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20CB9">
        <w:rPr>
          <w:rFonts w:ascii="Times New Roman" w:eastAsia="MS Mincho" w:hAnsi="Times New Roman"/>
          <w:sz w:val="24"/>
          <w:szCs w:val="24"/>
          <w:lang w:eastAsia="ru-RU"/>
        </w:rPr>
        <w:t>агропромислового комплексу та екології</w:t>
      </w:r>
      <w:r w:rsidRPr="00920C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7BD2" w:rsidRPr="00920CB9" w:rsidRDefault="00920CB9">
      <w:pPr>
        <w:rPr>
          <w:sz w:val="24"/>
          <w:szCs w:val="24"/>
        </w:rPr>
      </w:pPr>
      <w:r w:rsidRPr="00920CB9">
        <w:rPr>
          <w:rFonts w:ascii="Times New Roman" w:eastAsia="Times New Roman" w:hAnsi="Times New Roman"/>
          <w:sz w:val="24"/>
          <w:szCs w:val="24"/>
          <w:lang w:eastAsia="ru-RU"/>
        </w:rPr>
        <w:t xml:space="preserve">Менської міської ради                                               </w:t>
      </w:r>
      <w:r w:rsidRPr="00920C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920C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Pr="00920C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Оксана СКИРТА</w:t>
      </w:r>
      <w:bookmarkStart w:id="0" w:name="_GoBack"/>
      <w:bookmarkEnd w:id="0"/>
    </w:p>
    <w:sectPr w:rsidR="00917BD2" w:rsidRPr="00920CB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134" w:right="567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D2" w:rsidRDefault="0047225D">
      <w:r>
        <w:separator/>
      </w:r>
    </w:p>
  </w:endnote>
  <w:endnote w:type="continuationSeparator" w:id="0">
    <w:p w:rsidR="00917BD2" w:rsidRDefault="0047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D2" w:rsidRDefault="00917BD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D2" w:rsidRDefault="00917BD2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D2" w:rsidRDefault="00917BD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D2" w:rsidRDefault="0047225D">
      <w:r>
        <w:separator/>
      </w:r>
    </w:p>
  </w:footnote>
  <w:footnote w:type="continuationSeparator" w:id="0">
    <w:p w:rsidR="00917BD2" w:rsidRDefault="00472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D2" w:rsidRDefault="00917BD2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D2" w:rsidRDefault="0047225D">
    <w:pPr>
      <w:pStyle w:val="af3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D2" w:rsidRDefault="00917BD2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D2"/>
    <w:rsid w:val="0047225D"/>
    <w:rsid w:val="00917BD2"/>
    <w:rsid w:val="00920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basedOn w:val="a0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alloon Text"/>
    <w:basedOn w:val="a"/>
    <w:link w:val="aff3"/>
    <w:uiPriority w:val="99"/>
    <w:semiHidden/>
    <w:unhideWhenUsed/>
    <w:rsid w:val="00920CB9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920CB9"/>
    <w:rPr>
      <w:rFonts w:ascii="Tahoma" w:eastAsia="Calibri" w:hAnsi="Tahoma" w:cs="Tahoma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0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75B8EC-A89F-4F48-A4C7-7F118E7B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TOMoroz</dc:creator>
  <cp:lastModifiedBy>LOStarodub</cp:lastModifiedBy>
  <cp:revision>21</cp:revision>
  <cp:lastPrinted>2025-01-15T12:39:00Z</cp:lastPrinted>
  <dcterms:created xsi:type="dcterms:W3CDTF">2024-04-09T06:40:00Z</dcterms:created>
  <dcterms:modified xsi:type="dcterms:W3CDTF">2025-01-15T12:43:00Z</dcterms:modified>
</cp:coreProperties>
</file>