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 w:firstLine="0"/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color w:val="000000"/>
          <w:sz w:val="28"/>
          <w:szCs w:val="28"/>
        </w:rPr>
        <w:t xml:space="preserve">13 січня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2025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року 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                         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eastAsia="Calibri" w:cs="Mangal"/>
          <w:color w:val="000000"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ab/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  <w:t xml:space="preserve">05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ru-RU" w:eastAsia="uk-UA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 скликання виконкому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pP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zh-CN"/>
        </w:rPr>
      </w:r>
    </w:p>
    <w:p>
      <w:pPr>
        <w:pBdr/>
        <w:tabs>
          <w:tab w:val="clear" w:leader="none" w:pos="1134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Враховуючи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службові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записки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начальника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Служби у справах дітей Менської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Васильчук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О.М. та начальника відділу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земельних відносин, агропромислового комплексу та екології 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Скирти О.В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розгляд на засіданні виконавчого коміт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ту Менської міської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ради питань, які потребують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термінового вирішення, а саме: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про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Style w:val="1_845"/>
          <w:rFonts w:ascii="Times New Roman" w:hAnsi="Times New Roman" w:cs="Times New Roman"/>
          <w:bCs/>
          <w:color w:val="000000"/>
          <w:sz w:val="28"/>
          <w:szCs w:val="28"/>
        </w:rPr>
        <w:t xml:space="preserve">затвердження Акту визначення розміру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збитків, заподіяних Менській міській раді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Чулковим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Юрієм Олександровичем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внаслідок використання земельної ділянки без правовстановлюючих документів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, враховуючи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звернення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Чулкова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Ю.О. про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розгляд в найкоротші строки питання щодо сплати ним вказаних збитків з розстроченням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оплати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на рік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про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подовження терміну перебування дітей </w:t>
      </w:r>
      <w:r>
        <w:rPr>
          <w:rStyle w:val="1_845"/>
          <w:rFonts w:ascii="Times New Roman" w:hAnsi="Times New Roman" w:cs="Times New Roman"/>
          <w:color w:val="000000"/>
          <w:sz w:val="28"/>
          <w:szCs w:val="28"/>
        </w:rPr>
        <w:t xml:space="preserve">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****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у родині патронатного вихователя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****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враховуючи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що термін перебування дітей в патронатній родині закінчується 16 січня 2025 року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керуючись  ст. ст. 42, </w:t>
      </w:r>
      <w:r>
        <w:rPr>
          <w:rFonts w:ascii="Times New Roman" w:hAnsi="Times New Roman" w:eastAsia="Calibri" w:cs="Times New Roman"/>
          <w:sz w:val="28"/>
          <w:szCs w:val="28"/>
        </w:rPr>
        <w:t xml:space="preserve">50, </w:t>
      </w:r>
      <w:r>
        <w:rPr>
          <w:rFonts w:ascii="Times New Roman" w:hAnsi="Times New Roman" w:eastAsia="Calibri" w:cs="Times New Roman"/>
          <w:sz w:val="28"/>
          <w:szCs w:val="28"/>
        </w:rPr>
        <w:t xml:space="preserve">53 Закону України «Про місцеве самоврядування в Україні»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Регламентом роботи виконавчого комітету Менської міської ради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із змінами і доповненнями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</w:p>
    <w:p>
      <w:pPr>
        <w:pBdr/>
        <w:tabs>
          <w:tab w:val="clear" w:leader="none" w:pos="1134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/>
      <w:bookmarkStart w:id="0" w:name="_Hlk45557607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1. Скликати позачергове засідання  виконавчого комітету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енської міської ради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15 січня 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оку о **-**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год.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Питання, що винося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ться на розгляд на засідання:</w:t>
      </w:r>
      <w:bookmarkStart w:id="1" w:name="_Hlk69281647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Style w:val="1_844"/>
        <w:pBdr/>
        <w:spacing w:after="0" w:afterAutospacing="0" w:before="0" w:beforeAutospacing="0"/>
        <w:ind/>
        <w:jc w:val="both"/>
        <w:rPr/>
      </w:pPr>
      <w:r>
        <w:rPr>
          <w:sz w:val="28"/>
          <w:szCs w:val="28"/>
        </w:rPr>
        <w:t xml:space="preserve">      1) </w:t>
      </w:r>
      <w:r>
        <w:rPr>
          <w:bCs/>
          <w:color w:val="000000"/>
          <w:sz w:val="28"/>
          <w:szCs w:val="28"/>
        </w:rPr>
        <w:t xml:space="preserve">Про затвердження Акту визначення розміру збитків, заподіяних Менській міській раді </w:t>
      </w:r>
      <w:r>
        <w:rPr>
          <w:bCs/>
          <w:color w:val="000000"/>
          <w:sz w:val="28"/>
          <w:szCs w:val="28"/>
        </w:rPr>
        <w:t xml:space="preserve">Чулковим</w:t>
      </w:r>
      <w:r>
        <w:rPr>
          <w:bCs/>
          <w:color w:val="000000"/>
          <w:sz w:val="28"/>
          <w:szCs w:val="28"/>
        </w:rPr>
        <w:t xml:space="preserve"> Юрієм Олександровичем</w:t>
      </w:r>
      <w:r>
        <w:rPr>
          <w:bCs/>
          <w:color w:val="000000"/>
          <w:sz w:val="28"/>
          <w:szCs w:val="28"/>
        </w:rPr>
        <w:t xml:space="preserve">,</w:t>
      </w:r>
      <w:bookmarkStart w:id="2" w:name="_GoBack"/>
      <w:r/>
      <w:bookmarkEnd w:id="2"/>
      <w:r>
        <w:rPr>
          <w:bCs/>
          <w:color w:val="000000"/>
          <w:sz w:val="28"/>
          <w:szCs w:val="28"/>
        </w:rPr>
        <w:t xml:space="preserve"> внаслідок використання земельної ділянки без правовстановлюючих документів</w:t>
      </w:r>
      <w:r>
        <w:t xml:space="preserve">.</w:t>
      </w:r>
      <w:r/>
      <w:r/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</w:t>
      </w:r>
      <w:r>
        <w:rPr>
          <w:rFonts w:ascii="Times New Roman" w:hAnsi="Times New Roman" w:cs="Times New Roman"/>
          <w:sz w:val="28"/>
          <w:szCs w:val="28"/>
        </w:rPr>
        <w:t xml:space="preserve"> Скирта Оксана Віталіївна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відділу </w:t>
      </w:r>
      <w:r>
        <w:rPr>
          <w:rFonts w:ascii="Times New Roman" w:hAnsi="Times New Roman" w:cs="Times New Roman"/>
          <w:sz w:val="28"/>
          <w:szCs w:val="28"/>
        </w:rPr>
        <w:t xml:space="preserve">земельних відносин, агропромислового комплексу та екології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clear" w:leader="none" w:pos="1134"/>
        </w:tabs>
        <w:spacing w:after="0" w:line="240" w:lineRule="auto"/>
        <w:ind w:right="0" w:firstLine="425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подовження терміну перебування дітей у родині патронатного вихователя.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Васильчук</w:t>
      </w:r>
      <w:r>
        <w:rPr>
          <w:rFonts w:ascii="Times New Roman" w:hAnsi="Times New Roman" w:cs="Times New Roman"/>
          <w:sz w:val="28"/>
          <w:szCs w:val="28"/>
        </w:rPr>
        <w:t xml:space="preserve"> Олена Михайлівна, начальник Служби у справах дітей Менської міської ради.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Засідання провести в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приміщенні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 по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вул. ****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 в м.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  <w:t xml:space="preserve">.</w:t>
      </w:r>
      <w:bookmarkEnd w:id="0"/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</w:r>
    </w:p>
    <w:p>
      <w:pPr>
        <w:pBdr/>
        <w:tabs>
          <w:tab w:val="left" w:leader="none" w:pos="567"/>
        </w:tabs>
        <w:spacing w:after="0" w:line="240" w:lineRule="auto"/>
        <w:ind w:right="0" w:firstLine="0" w:left="0"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lang w:bidi="en-US"/>
        </w:rPr>
        <w:t xml:space="preserve">Секретар ради                                                               Юрій СТАЛЬНИЧЕНКО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character" w:styleId="1_845" w:customStyle="1">
    <w:name w:val="docy"/>
    <w:basedOn w:val="759"/>
    <w:pPr>
      <w:pBdr/>
      <w:spacing/>
      <w:ind/>
    </w:pPr>
  </w:style>
  <w:style w:type="paragraph" w:styleId="1_844" w:customStyle="1">
    <w:name w:val="docdata"/>
    <w:basedOn w:val="74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uk-U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2025-01-14T07:25:51Z</dcterms:modified>
</cp:coreProperties>
</file>