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14"/>
          <w:szCs w:val="14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84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84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67"/>
        <w:pBdr/>
        <w:spacing w:after="0" w:before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грудня</w:t>
      </w:r>
      <w:r>
        <w:rPr>
          <w:color w:val="000000"/>
          <w:sz w:val="28"/>
          <w:szCs w:val="28"/>
        </w:rPr>
        <w:t xml:space="preserve"> 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року  </w:t>
        <w:tab/>
        <w:t xml:space="preserve"> м. Мена</w:t>
      </w:r>
      <w:r>
        <w:rPr>
          <w:color w:val="000000"/>
          <w:sz w:val="28"/>
          <w:szCs w:val="28"/>
        </w:rPr>
        <w:tab/>
        <w:t xml:space="preserve">№ 411</w:t>
      </w:r>
      <w:r/>
    </w:p>
    <w:p>
      <w:pPr>
        <w:pStyle w:val="938"/>
        <w:pBdr/>
        <w:spacing w:after="0" w:afterAutospacing="0" w:before="0" w:beforeAutospacing="0"/>
        <w:ind/>
        <w:rPr>
          <w:sz w:val="28"/>
          <w:szCs w:val="28"/>
        </w:rPr>
      </w:pPr>
      <w:r/>
      <w:bookmarkStart w:id="0" w:name="_GoBack"/>
      <w:r>
        <w:rPr>
          <w:sz w:val="20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5528"/>
        <w:jc w:val="both"/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Про 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затвердження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графіків звіряння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облікових даних первинного обліку призовників, військовозобов’язаних та резервістів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на 2025 рік</w:t>
      </w:r>
      <w:bookmarkEnd w:id="0"/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4"/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pacing w:val="10"/>
          <w:sz w:val="28"/>
          <w:szCs w:val="28"/>
          <w:lang w:eastAsia="uk-UA"/>
        </w:rPr>
        <w:t xml:space="preserve">Законів України «Про військовий обов'язок і військову службу», «Про мобілізаційну підготовку та мобілізацію»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постанови Кабінету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Міністрів України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30 грудня 2022 року № 1487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Порядку організації та ведення військового обліку призовників, військовозобов’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язаних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 резервістів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», з метою забезпечення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 населених пунктах Менської міської територіальної громади, керуючись 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ст.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42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50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Закону України «Про місцеве самоврядування в Україні»: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 w:eastAsia="uk-UA"/>
        </w:rPr>
        <w:t xml:space="preserve">графіки звіряння облікових даних карток первинного обліку призовників, військовозобов’язаних та резервістів, які перебувають на персонально-</w:t>
      </w:r>
      <w:r>
        <w:rPr>
          <w:sz w:val="28"/>
          <w:szCs w:val="28"/>
          <w:lang w:val="uk-UA" w:eastAsia="uk-UA"/>
        </w:rPr>
        <w:t xml:space="preserve">первинному військовому обліку у </w:t>
      </w:r>
      <w:r>
        <w:rPr>
          <w:sz w:val="28"/>
          <w:szCs w:val="28"/>
          <w:lang w:val="uk-UA" w:eastAsia="uk-UA"/>
        </w:rPr>
        <w:t xml:space="preserve">старостинських</w:t>
      </w:r>
      <w:r>
        <w:rPr>
          <w:sz w:val="28"/>
          <w:szCs w:val="28"/>
          <w:lang w:val="uk-UA" w:eastAsia="uk-UA"/>
        </w:rPr>
        <w:t xml:space="preserve"> округах міської ради</w:t>
      </w:r>
      <w:r>
        <w:rPr>
          <w:sz w:val="28"/>
          <w:szCs w:val="28"/>
          <w:lang w:val="uk-UA" w:eastAsia="uk-UA"/>
        </w:rPr>
        <w:t xml:space="preserve">,</w:t>
      </w:r>
      <w:r>
        <w:rPr>
          <w:sz w:val="28"/>
          <w:szCs w:val="28"/>
          <w:lang w:val="uk-UA" w:eastAsia="uk-UA"/>
        </w:rPr>
        <w:t xml:space="preserve"> </w:t>
      </w:r>
      <w:bookmarkStart w:id="1" w:name="n114"/>
      <w:r/>
      <w:bookmarkEnd w:id="1"/>
      <w:r>
        <w:rPr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3" w:tooltip="https://zakon.rada.gov.ua/laws/show/1487-2022-%D0%BF#n382" w:anchor="n382" w:history="1">
        <w:r>
          <w:rPr>
            <w:sz w:val="28"/>
            <w:szCs w:val="28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</w:t>
      </w:r>
      <w:r>
        <w:rPr>
          <w:sz w:val="28"/>
          <w:szCs w:val="28"/>
          <w:lang w:val="uk-UA" w:eastAsia="uk-UA"/>
        </w:rPr>
        <w:t xml:space="preserve">та які </w:t>
      </w:r>
      <w:r>
        <w:rPr>
          <w:sz w:val="28"/>
          <w:szCs w:val="28"/>
          <w:lang w:val="uk-UA" w:eastAsia="uk-UA"/>
        </w:rPr>
        <w:t xml:space="preserve">перебувають на території </w:t>
      </w:r>
      <w:r>
        <w:rPr>
          <w:sz w:val="28"/>
          <w:szCs w:val="28"/>
          <w:lang w:val="uk-UA" w:eastAsia="uk-UA"/>
        </w:rPr>
        <w:t xml:space="preserve">відповідного </w:t>
      </w:r>
      <w:r>
        <w:rPr>
          <w:sz w:val="28"/>
          <w:szCs w:val="28"/>
          <w:lang w:val="uk-UA" w:eastAsia="uk-UA"/>
        </w:rPr>
        <w:t xml:space="preserve">старостинського</w:t>
      </w:r>
      <w:r>
        <w:rPr>
          <w:sz w:val="28"/>
          <w:szCs w:val="28"/>
          <w:lang w:val="uk-UA" w:eastAsia="uk-UA"/>
        </w:rPr>
        <w:t xml:space="preserve"> округу</w:t>
      </w:r>
      <w:r>
        <w:rPr>
          <w:sz w:val="28"/>
          <w:szCs w:val="28"/>
          <w:lang w:val="uk-UA" w:eastAsia="uk-UA"/>
        </w:rPr>
        <w:t xml:space="preserve">,</w:t>
      </w:r>
      <w:r>
        <w:rPr>
          <w:sz w:val="28"/>
          <w:szCs w:val="28"/>
          <w:lang w:val="uk-UA" w:eastAsia="uk-UA"/>
        </w:rPr>
        <w:t xml:space="preserve"> </w:t>
      </w:r>
      <w:bookmarkStart w:id="2" w:name="n115"/>
      <w:r/>
      <w:bookmarkStart w:id="3" w:name="n116"/>
      <w:r/>
      <w:bookmarkEnd w:id="2"/>
      <w:r/>
      <w:bookmarkEnd w:id="3"/>
      <w:r>
        <w:rPr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sz w:val="28"/>
          <w:szCs w:val="28"/>
          <w:lang w:val="uk-UA" w:eastAsia="uk-UA"/>
        </w:rPr>
        <w:t xml:space="preserve"> на 2025 рік</w:t>
      </w:r>
      <w:r>
        <w:rPr>
          <w:sz w:val="28"/>
          <w:szCs w:val="28"/>
          <w:lang w:val="uk-UA" w:eastAsia="uk-UA"/>
        </w:rPr>
        <w:t xml:space="preserve">: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 xml:space="preserve">1.1. По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Макошинському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(с</w:t>
      </w:r>
      <w:r>
        <w:rPr>
          <w:sz w:val="28"/>
          <w:szCs w:val="28"/>
          <w:shd w:val="clear" w:color="auto" w:fill="ffffff"/>
          <w:lang w:val="uk-UA"/>
        </w:rPr>
        <w:t xml:space="preserve">-ще </w:t>
      </w:r>
      <w:r>
        <w:rPr>
          <w:sz w:val="28"/>
          <w:szCs w:val="28"/>
        </w:rPr>
        <w:t xml:space="preserve">Макошине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 </w:t>
      </w:r>
      <w:r>
        <w:rPr>
          <w:sz w:val="28"/>
          <w:szCs w:val="28"/>
        </w:rPr>
        <w:t xml:space="preserve">Остапівка</w:t>
      </w:r>
      <w:r>
        <w:rPr>
          <w:sz w:val="28"/>
          <w:szCs w:val="28"/>
          <w:lang w:val="uk-UA"/>
        </w:rPr>
        <w:t xml:space="preserve">) згідно додатку 1.</w:t>
      </w:r>
      <w:r>
        <w:rPr>
          <w:sz w:val="28"/>
          <w:szCs w:val="28"/>
          <w:lang w:val="uk-UA"/>
        </w:rPr>
      </w:r>
      <w:r>
        <w:rPr>
          <w:sz w:val="28"/>
          <w:szCs w:val="28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1.2. По </w:t>
      </w:r>
      <w:r>
        <w:rPr>
          <w:sz w:val="28"/>
          <w:szCs w:val="28"/>
          <w:lang w:val="uk-UA"/>
        </w:rPr>
        <w:t xml:space="preserve">Бірківському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Бірківка</w:t>
      </w:r>
      <w:r>
        <w:rPr>
          <w:sz w:val="28"/>
          <w:szCs w:val="28"/>
          <w:lang w:val="uk-UA"/>
        </w:rPr>
        <w:t xml:space="preserve">) згідно  додатку 2.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</w:t>
      </w:r>
      <w:r>
        <w:rPr>
          <w:sz w:val="28"/>
          <w:szCs w:val="28"/>
          <w:lang w:val="uk-UA"/>
        </w:rPr>
        <w:t xml:space="preserve">3</w:t>
      </w:r>
      <w:r>
        <w:rPr>
          <w:sz w:val="28"/>
          <w:szCs w:val="28"/>
          <w:lang w:val="uk-UA"/>
        </w:rPr>
        <w:t xml:space="preserve">. По </w:t>
      </w:r>
      <w:r>
        <w:rPr>
          <w:sz w:val="28"/>
          <w:szCs w:val="28"/>
          <w:lang w:val="uk-UA"/>
        </w:rPr>
        <w:t xml:space="preserve">Блистівському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Блистова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Дерепівка</w:t>
      </w:r>
      <w:r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згідно додатку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. По </w:t>
      </w:r>
      <w:r>
        <w:rPr>
          <w:sz w:val="28"/>
          <w:szCs w:val="28"/>
          <w:lang w:val="uk-UA"/>
        </w:rPr>
        <w:t xml:space="preserve">Величківському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Величківка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Вільне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додатку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. По </w:t>
      </w:r>
      <w:r>
        <w:rPr>
          <w:sz w:val="28"/>
          <w:szCs w:val="28"/>
          <w:lang w:val="uk-UA"/>
        </w:rPr>
        <w:t xml:space="preserve">Волосківському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Волосківці</w:t>
      </w:r>
      <w:r>
        <w:rPr>
          <w:sz w:val="28"/>
          <w:szCs w:val="28"/>
        </w:rPr>
        <w:t xml:space="preserve">, с. </w:t>
      </w:r>
      <w:r>
        <w:rPr>
          <w:sz w:val="28"/>
          <w:szCs w:val="28"/>
        </w:rPr>
        <w:t xml:space="preserve">Степанівка</w:t>
      </w:r>
      <w:r>
        <w:rPr>
          <w:sz w:val="28"/>
          <w:szCs w:val="28"/>
          <w:lang w:val="uk-UA"/>
        </w:rPr>
        <w:t xml:space="preserve">) згідно додатку 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. По </w:t>
      </w:r>
      <w:r>
        <w:rPr>
          <w:sz w:val="28"/>
          <w:szCs w:val="28"/>
          <w:lang w:val="uk-UA"/>
        </w:rPr>
        <w:t xml:space="preserve">Городищенському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Городище</w:t>
      </w:r>
      <w:r>
        <w:rPr>
          <w:sz w:val="28"/>
          <w:szCs w:val="28"/>
          <w:lang w:val="uk-UA"/>
        </w:rPr>
        <w:t xml:space="preserve">) згідно  додатку 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</w:t>
      </w: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  <w:lang w:val="uk-UA"/>
        </w:rPr>
        <w:t xml:space="preserve">. По </w:t>
      </w:r>
      <w:r>
        <w:rPr>
          <w:sz w:val="28"/>
          <w:szCs w:val="28"/>
          <w:lang w:val="uk-UA"/>
        </w:rPr>
        <w:t xml:space="preserve">Данилівсько</w:t>
      </w:r>
      <w:r>
        <w:rPr>
          <w:sz w:val="28"/>
          <w:szCs w:val="28"/>
          <w:lang w:val="uk-UA"/>
        </w:rPr>
        <w:t xml:space="preserve">-Садовому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Данілівка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с. </w:t>
      </w:r>
      <w:r>
        <w:rPr>
          <w:sz w:val="28"/>
          <w:szCs w:val="28"/>
        </w:rPr>
        <w:t xml:space="preserve">Веселе</w:t>
      </w:r>
      <w:r>
        <w:rPr>
          <w:sz w:val="28"/>
          <w:szCs w:val="28"/>
        </w:rPr>
        <w:t xml:space="preserve">, с-</w:t>
      </w:r>
      <w:r>
        <w:rPr>
          <w:sz w:val="28"/>
          <w:szCs w:val="28"/>
        </w:rPr>
        <w:t xml:space="preserve">ще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Садове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Нові</w:t>
      </w:r>
      <w:r>
        <w:rPr>
          <w:sz w:val="28"/>
          <w:szCs w:val="28"/>
        </w:rPr>
        <w:t xml:space="preserve"> Броди</w:t>
      </w:r>
      <w:r>
        <w:rPr>
          <w:sz w:val="28"/>
          <w:szCs w:val="28"/>
          <w:lang w:val="uk-UA"/>
        </w:rPr>
        <w:t xml:space="preserve">) згідно додатку </w:t>
      </w: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</w:t>
      </w:r>
      <w:r>
        <w:rPr>
          <w:sz w:val="28"/>
          <w:szCs w:val="28"/>
          <w:lang w:val="uk-UA"/>
        </w:rPr>
        <w:t xml:space="preserve">8</w:t>
      </w:r>
      <w:r>
        <w:rPr>
          <w:sz w:val="28"/>
          <w:szCs w:val="28"/>
          <w:lang w:val="uk-UA"/>
        </w:rPr>
        <w:t xml:space="preserve">. По </w:t>
      </w:r>
      <w:r>
        <w:rPr>
          <w:sz w:val="28"/>
          <w:szCs w:val="28"/>
          <w:lang w:val="uk-UA"/>
        </w:rPr>
        <w:t xml:space="preserve">Дягівському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Дягова</w:t>
      </w:r>
      <w:r>
        <w:rPr>
          <w:sz w:val="28"/>
          <w:szCs w:val="28"/>
          <w:lang w:val="uk-UA"/>
        </w:rPr>
        <w:t xml:space="preserve">) згідно  додатку </w:t>
      </w:r>
      <w:r>
        <w:rPr>
          <w:sz w:val="28"/>
          <w:szCs w:val="28"/>
          <w:lang w:val="uk-UA"/>
        </w:rPr>
        <w:t xml:space="preserve">8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</w:t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  <w:t xml:space="preserve">. По </w:t>
      </w:r>
      <w:r>
        <w:rPr>
          <w:sz w:val="28"/>
          <w:szCs w:val="28"/>
          <w:lang w:val="uk-UA"/>
        </w:rPr>
        <w:t xml:space="preserve">Киселівському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Киселівка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Комарівка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с-</w:t>
      </w:r>
      <w:r>
        <w:rPr>
          <w:sz w:val="28"/>
          <w:szCs w:val="28"/>
        </w:rPr>
        <w:t xml:space="preserve">ще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Прогрес</w:t>
      </w:r>
      <w:r>
        <w:rPr>
          <w:sz w:val="28"/>
          <w:szCs w:val="28"/>
          <w:lang w:val="uk-UA"/>
        </w:rPr>
        <w:t xml:space="preserve">) згідно додатку </w:t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</w:t>
      </w:r>
      <w:r>
        <w:rPr>
          <w:sz w:val="28"/>
          <w:szCs w:val="28"/>
          <w:lang w:val="uk-UA"/>
        </w:rPr>
        <w:t xml:space="preserve">10</w:t>
      </w:r>
      <w:r>
        <w:rPr>
          <w:sz w:val="28"/>
          <w:szCs w:val="28"/>
          <w:lang w:val="uk-UA"/>
        </w:rPr>
        <w:t xml:space="preserve">. По </w:t>
      </w:r>
      <w:r>
        <w:rPr>
          <w:sz w:val="28"/>
          <w:szCs w:val="28"/>
          <w:lang w:val="uk-UA"/>
        </w:rPr>
        <w:t xml:space="preserve">Куковицькому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с.Куковичі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с.Овчарівка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с.Загорівка</w:t>
      </w:r>
      <w:r>
        <w:rPr>
          <w:sz w:val="28"/>
          <w:szCs w:val="28"/>
        </w:rPr>
        <w:t xml:space="preserve">, с-</w:t>
      </w:r>
      <w:r>
        <w:rPr>
          <w:sz w:val="28"/>
          <w:szCs w:val="28"/>
        </w:rPr>
        <w:t xml:space="preserve">ще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Куковицьке</w:t>
      </w:r>
      <w:r>
        <w:rPr>
          <w:sz w:val="28"/>
          <w:szCs w:val="28"/>
          <w:lang w:val="uk-UA"/>
        </w:rPr>
        <w:t xml:space="preserve">) згідно додатку </w:t>
      </w:r>
      <w:r>
        <w:rPr>
          <w:sz w:val="28"/>
          <w:szCs w:val="28"/>
          <w:lang w:val="uk-UA"/>
        </w:rPr>
        <w:t xml:space="preserve">10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1.11. По </w:t>
      </w:r>
      <w:r>
        <w:rPr>
          <w:sz w:val="28"/>
          <w:szCs w:val="28"/>
          <w:lang w:val="uk-UA"/>
        </w:rPr>
        <w:t xml:space="preserve">Лісківському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Ліски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Майське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</w:rPr>
        <w:t xml:space="preserve">Максаки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Луки</w:t>
      </w:r>
      <w:r>
        <w:rPr>
          <w:sz w:val="28"/>
          <w:szCs w:val="28"/>
          <w:lang w:val="uk-UA"/>
        </w:rPr>
        <w:t xml:space="preserve">) згідно додатку 11.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1.12. По </w:t>
      </w:r>
      <w:r>
        <w:rPr>
          <w:sz w:val="28"/>
          <w:szCs w:val="28"/>
          <w:lang w:val="uk-UA"/>
        </w:rPr>
        <w:t xml:space="preserve">Осьмаківсько-Ушнянському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Осьмаки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Ушня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Дібрівка</w:t>
      </w:r>
      <w:r>
        <w:rPr>
          <w:sz w:val="28"/>
          <w:szCs w:val="28"/>
          <w:lang w:val="uk-UA"/>
        </w:rPr>
        <w:t xml:space="preserve">) згідно додатку 12.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1.13. По </w:t>
      </w:r>
      <w:r>
        <w:rPr>
          <w:rFonts w:ascii="Times New Roman" w:hAnsi="Times New Roman" w:cs="Times New Roman"/>
          <w:sz w:val="28"/>
          <w:szCs w:val="28"/>
        </w:rPr>
        <w:t xml:space="preserve">Покровсько</w:t>
      </w:r>
      <w:r>
        <w:rPr>
          <w:rFonts w:ascii="Times New Roman" w:hAnsi="Times New Roman" w:cs="Times New Roman"/>
          <w:sz w:val="28"/>
          <w:szCs w:val="28"/>
        </w:rPr>
        <w:t xml:space="preserve">-Слобідському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старостинському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 Покровське, с. Слобідка</w:t>
      </w:r>
      <w:r>
        <w:rPr>
          <w:rFonts w:ascii="Times New Roman" w:hAnsi="Times New Roman" w:cs="Times New Roman"/>
          <w:sz w:val="28"/>
          <w:szCs w:val="28"/>
        </w:rPr>
        <w:t xml:space="preserve">) згідно додатку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1.14. По </w:t>
      </w:r>
      <w:r>
        <w:rPr>
          <w:sz w:val="28"/>
          <w:szCs w:val="28"/>
          <w:lang w:val="uk-UA"/>
        </w:rPr>
        <w:t xml:space="preserve">Семенівському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 округу (</w:t>
      </w:r>
      <w:r>
        <w:rPr>
          <w:sz w:val="28"/>
          <w:szCs w:val="28"/>
          <w:shd w:val="clear" w:color="auto" w:fill="ffffff"/>
          <w:lang w:val="uk-UA"/>
        </w:rPr>
        <w:t xml:space="preserve">с. </w:t>
      </w:r>
      <w:r>
        <w:rPr>
          <w:sz w:val="28"/>
          <w:szCs w:val="28"/>
          <w:shd w:val="clear" w:color="auto" w:fill="ffffff"/>
          <w:lang w:val="uk-UA"/>
        </w:rPr>
        <w:t xml:space="preserve">Семенівка</w:t>
      </w:r>
      <w:r>
        <w:rPr>
          <w:sz w:val="28"/>
          <w:szCs w:val="28"/>
          <w:lang w:val="uk-UA"/>
        </w:rPr>
        <w:t xml:space="preserve">) згідно додатку 1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1.15. По </w:t>
      </w:r>
      <w:r>
        <w:rPr>
          <w:sz w:val="28"/>
          <w:szCs w:val="28"/>
          <w:lang w:val="uk-UA"/>
        </w:rPr>
        <w:t xml:space="preserve">Синявському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  <w:shd w:val="clear" w:color="auto" w:fill="ffffff"/>
          <w:lang w:val="uk-UA"/>
        </w:rPr>
        <w:t xml:space="preserve">с. Синявка</w:t>
      </w:r>
      <w:r>
        <w:rPr>
          <w:sz w:val="28"/>
          <w:szCs w:val="28"/>
          <w:lang w:val="uk-UA"/>
        </w:rPr>
        <w:t xml:space="preserve">) згідно </w:t>
      </w:r>
      <w:r>
        <w:rPr>
          <w:sz w:val="28"/>
          <w:szCs w:val="28"/>
          <w:lang w:val="uk-UA"/>
        </w:rPr>
        <w:t xml:space="preserve">додатку 1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1.16. По </w:t>
      </w:r>
      <w:r>
        <w:rPr>
          <w:sz w:val="28"/>
          <w:szCs w:val="28"/>
          <w:lang w:val="uk-UA"/>
        </w:rPr>
        <w:t xml:space="preserve">Стольненському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Стольне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Дмитрівка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Лазарівка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Чорногорці</w:t>
      </w:r>
      <w:r>
        <w:rPr>
          <w:sz w:val="28"/>
          <w:szCs w:val="28"/>
          <w:lang w:val="uk-UA"/>
        </w:rPr>
        <w:t xml:space="preserve">) згідно додатку 1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1.17.</w:t>
      </w:r>
      <w:r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 xml:space="preserve">Феськівському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  <w:shd w:val="clear" w:color="auto" w:fill="ffffff"/>
          <w:lang w:val="uk-UA"/>
        </w:rPr>
        <w:t xml:space="preserve">с. </w:t>
      </w:r>
      <w:r>
        <w:rPr>
          <w:sz w:val="28"/>
          <w:szCs w:val="28"/>
          <w:shd w:val="clear" w:color="auto" w:fill="ffffff"/>
          <w:lang w:val="uk-UA"/>
        </w:rPr>
        <w:t xml:space="preserve">Феськівка</w:t>
      </w:r>
      <w:r>
        <w:rPr>
          <w:sz w:val="28"/>
          <w:szCs w:val="28"/>
          <w:lang w:val="uk-UA"/>
        </w:rPr>
        <w:t xml:space="preserve">) згідно додатку 1</w:t>
      </w: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  <w:lang w:val="uk-UA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8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8"/>
        <w:pBdr/>
        <w:spacing w:after="0" w:afterAutospacing="0" w:before="0" w:beforeAutospacing="0"/>
        <w:ind/>
        <w:rPr>
          <w:sz w:val="28"/>
        </w:rPr>
      </w:pPr>
      <w:r>
        <w:rPr>
          <w:sz w:val="28"/>
        </w:rPr>
        <w:t xml:space="preserve"> </w:t>
      </w:r>
      <w:r>
        <w:rPr>
          <w:sz w:val="28"/>
        </w:rPr>
      </w:r>
      <w:r>
        <w:rPr>
          <w:sz w:val="28"/>
        </w:rPr>
      </w:r>
    </w:p>
    <w:p>
      <w:pPr>
        <w:pStyle w:val="938"/>
        <w:pBdr/>
        <w:tabs>
          <w:tab w:val="left" w:leader="none" w:pos="6520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Plain Table 1"/>
    <w:basedOn w:val="7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7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18">
    <w:name w:val="Heading 1"/>
    <w:basedOn w:val="739"/>
    <w:next w:val="739"/>
    <w:link w:val="7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19">
    <w:name w:val="Heading 2"/>
    <w:basedOn w:val="739"/>
    <w:next w:val="739"/>
    <w:link w:val="7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20">
    <w:name w:val="Heading 3"/>
    <w:basedOn w:val="739"/>
    <w:next w:val="739"/>
    <w:link w:val="7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21">
    <w:name w:val="Heading 4"/>
    <w:basedOn w:val="739"/>
    <w:next w:val="739"/>
    <w:link w:val="7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22">
    <w:name w:val="Heading 5"/>
    <w:basedOn w:val="739"/>
    <w:next w:val="739"/>
    <w:link w:val="7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23">
    <w:name w:val="Heading 6"/>
    <w:basedOn w:val="739"/>
    <w:next w:val="739"/>
    <w:link w:val="7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4">
    <w:name w:val="Heading 7"/>
    <w:basedOn w:val="739"/>
    <w:next w:val="739"/>
    <w:link w:val="7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5">
    <w:name w:val="Heading 8"/>
    <w:basedOn w:val="739"/>
    <w:next w:val="739"/>
    <w:link w:val="7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6">
    <w:name w:val="Heading 9"/>
    <w:basedOn w:val="739"/>
    <w:next w:val="739"/>
    <w:link w:val="7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7">
    <w:name w:val="Intense Emphasis"/>
    <w:basedOn w:val="7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7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40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40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34">
    <w:name w:val="Header"/>
    <w:basedOn w:val="739"/>
    <w:link w:val="7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5">
    <w:name w:val="Footer"/>
    <w:basedOn w:val="739"/>
    <w:link w:val="75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6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37">
    <w:name w:val="Endnote Text Char"/>
    <w:basedOn w:val="740"/>
    <w:link w:val="761"/>
    <w:uiPriority w:val="99"/>
    <w:semiHidden/>
    <w:pPr>
      <w:pBdr/>
      <w:spacing/>
      <w:ind/>
    </w:pPr>
    <w:rPr>
      <w:sz w:val="20"/>
      <w:szCs w:val="20"/>
    </w:rPr>
  </w:style>
  <w:style w:type="character" w:styleId="738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9" w:default="1">
    <w:name w:val="Normal"/>
    <w:qFormat/>
    <w:pPr>
      <w:pBdr/>
      <w:spacing/>
      <w:ind/>
    </w:pPr>
  </w:style>
  <w:style w:type="character" w:styleId="740" w:default="1">
    <w:name w:val="Default Paragraph Font"/>
    <w:uiPriority w:val="1"/>
    <w:semiHidden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character" w:styleId="743" w:customStyle="1">
    <w:name w:val="Heading 1 Char"/>
    <w:basedOn w:val="7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4" w:customStyle="1">
    <w:name w:val="Heading 2 Char"/>
    <w:basedOn w:val="7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5" w:customStyle="1">
    <w:name w:val="Heading 3 Char"/>
    <w:basedOn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6" w:customStyle="1">
    <w:name w:val="Heading 4 Char"/>
    <w:basedOn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Heading 5 Char"/>
    <w:basedOn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Heading 6 Char"/>
    <w:basedOn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Heading 7 Char"/>
    <w:basedOn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Heading 8 Char"/>
    <w:basedOn w:val="7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Heading 9 Char"/>
    <w:basedOn w:val="7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Title Char"/>
    <w:basedOn w:val="740"/>
    <w:uiPriority w:val="10"/>
    <w:pPr>
      <w:pBdr/>
      <w:spacing/>
      <w:ind/>
    </w:pPr>
    <w:rPr>
      <w:sz w:val="48"/>
      <w:szCs w:val="48"/>
    </w:rPr>
  </w:style>
  <w:style w:type="character" w:styleId="753" w:customStyle="1">
    <w:name w:val="Subtitle Char"/>
    <w:basedOn w:val="740"/>
    <w:uiPriority w:val="11"/>
    <w:pPr>
      <w:pBdr/>
      <w:spacing/>
      <w:ind/>
    </w:pPr>
    <w:rPr>
      <w:sz w:val="24"/>
      <w:szCs w:val="24"/>
    </w:rPr>
  </w:style>
  <w:style w:type="character" w:styleId="754" w:customStyle="1">
    <w:name w:val="Quote Char"/>
    <w:uiPriority w:val="29"/>
    <w:pPr>
      <w:pBdr/>
      <w:spacing/>
      <w:ind/>
    </w:pPr>
    <w:rPr>
      <w:i/>
    </w:rPr>
  </w:style>
  <w:style w:type="character" w:styleId="755" w:customStyle="1">
    <w:name w:val="Intense Quote Char"/>
    <w:uiPriority w:val="30"/>
    <w:pPr>
      <w:pBdr/>
      <w:spacing/>
      <w:ind/>
    </w:pPr>
    <w:rPr>
      <w:i/>
    </w:rPr>
  </w:style>
  <w:style w:type="character" w:styleId="756" w:customStyle="1">
    <w:name w:val="Header Char"/>
    <w:basedOn w:val="740"/>
    <w:uiPriority w:val="99"/>
    <w:pPr>
      <w:pBdr/>
      <w:spacing/>
      <w:ind/>
    </w:pPr>
  </w:style>
  <w:style w:type="character" w:styleId="757" w:customStyle="1">
    <w:name w:val="Footer Char"/>
    <w:basedOn w:val="740"/>
    <w:uiPriority w:val="99"/>
    <w:pPr>
      <w:pBdr/>
      <w:spacing/>
      <w:ind/>
    </w:pPr>
  </w:style>
  <w:style w:type="paragraph" w:styleId="758" w:customStyle="1">
    <w:name w:val="Назва об'єкта1"/>
    <w:basedOn w:val="739"/>
    <w:next w:val="739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59" w:customStyle="1">
    <w:name w:val="Caption Char"/>
    <w:uiPriority w:val="99"/>
    <w:pPr>
      <w:pBdr/>
      <w:spacing/>
      <w:ind/>
    </w:pPr>
  </w:style>
  <w:style w:type="character" w:styleId="760" w:customStyle="1">
    <w:name w:val="Footnote Text Char"/>
    <w:uiPriority w:val="99"/>
    <w:pPr>
      <w:pBdr/>
      <w:spacing/>
      <w:ind/>
    </w:pPr>
    <w:rPr>
      <w:sz w:val="18"/>
    </w:rPr>
  </w:style>
  <w:style w:type="paragraph" w:styleId="761">
    <w:name w:val="endnote text"/>
    <w:basedOn w:val="739"/>
    <w:link w:val="7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2" w:customStyle="1">
    <w:name w:val="Текст кінцевої виноски Знак"/>
    <w:link w:val="761"/>
    <w:uiPriority w:val="99"/>
    <w:pPr>
      <w:pBdr/>
      <w:spacing/>
      <w:ind/>
    </w:pPr>
    <w:rPr>
      <w:sz w:val="20"/>
    </w:rPr>
  </w:style>
  <w:style w:type="character" w:styleId="763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764">
    <w:name w:val="table of figures"/>
    <w:basedOn w:val="739"/>
    <w:next w:val="739"/>
    <w:uiPriority w:val="99"/>
    <w:unhideWhenUsed/>
    <w:pPr>
      <w:pBdr/>
      <w:spacing w:after="0"/>
      <w:ind/>
    </w:pPr>
  </w:style>
  <w:style w:type="paragraph" w:styleId="765" w:customStyle="1">
    <w:name w:val="Заголовок 11"/>
    <w:basedOn w:val="739"/>
    <w:next w:val="739"/>
    <w:link w:val="7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6" w:customStyle="1">
    <w:name w:val="Заголовок 21"/>
    <w:basedOn w:val="739"/>
    <w:next w:val="739"/>
    <w:link w:val="7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7" w:customStyle="1">
    <w:name w:val="Заголовок 31"/>
    <w:basedOn w:val="739"/>
    <w:next w:val="73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8" w:customStyle="1">
    <w:name w:val="Заголовок 41"/>
    <w:basedOn w:val="739"/>
    <w:next w:val="739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9" w:customStyle="1">
    <w:name w:val="Заголовок 51"/>
    <w:basedOn w:val="739"/>
    <w:next w:val="73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0" w:customStyle="1">
    <w:name w:val="Заголовок 61"/>
    <w:basedOn w:val="739"/>
    <w:next w:val="739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1" w:customStyle="1">
    <w:name w:val="Заголовок 71"/>
    <w:basedOn w:val="739"/>
    <w:next w:val="739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2" w:customStyle="1">
    <w:name w:val="Заголовок 81"/>
    <w:basedOn w:val="739"/>
    <w:next w:val="739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3" w:customStyle="1">
    <w:name w:val="Заголовок 91"/>
    <w:basedOn w:val="739"/>
    <w:next w:val="739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Заголовок 1 Знак"/>
    <w:basedOn w:val="740"/>
    <w:link w:val="76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40"/>
    <w:link w:val="76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6" w:customStyle="1">
    <w:name w:val="Заголовок 3 Знак"/>
    <w:basedOn w:val="740"/>
    <w:link w:val="76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40"/>
    <w:link w:val="7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40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40"/>
    <w:link w:val="77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40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40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40"/>
    <w:link w:val="77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739"/>
    <w:uiPriority w:val="34"/>
    <w:qFormat/>
    <w:pPr>
      <w:pBdr/>
      <w:spacing/>
      <w:ind w:left="720"/>
      <w:contextualSpacing w:val="true"/>
    </w:pPr>
  </w:style>
  <w:style w:type="paragraph" w:styleId="784">
    <w:name w:val="No Spacing"/>
    <w:uiPriority w:val="1"/>
    <w:qFormat/>
    <w:pPr>
      <w:pBdr/>
      <w:spacing w:after="0" w:line="240" w:lineRule="auto"/>
      <w:ind/>
    </w:pPr>
  </w:style>
  <w:style w:type="paragraph" w:styleId="785">
    <w:name w:val="Title"/>
    <w:basedOn w:val="739"/>
    <w:next w:val="739"/>
    <w:link w:val="78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6" w:customStyle="1">
    <w:name w:val="Назва Знак"/>
    <w:basedOn w:val="740"/>
    <w:link w:val="785"/>
    <w:uiPriority w:val="10"/>
    <w:pPr>
      <w:pBdr/>
      <w:spacing/>
      <w:ind/>
    </w:pPr>
    <w:rPr>
      <w:sz w:val="48"/>
      <w:szCs w:val="48"/>
    </w:rPr>
  </w:style>
  <w:style w:type="paragraph" w:styleId="787">
    <w:name w:val="Subtitle"/>
    <w:basedOn w:val="739"/>
    <w:next w:val="739"/>
    <w:link w:val="78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8" w:customStyle="1">
    <w:name w:val="Підзаголовок Знак"/>
    <w:basedOn w:val="740"/>
    <w:link w:val="787"/>
    <w:uiPriority w:val="11"/>
    <w:pPr>
      <w:pBdr/>
      <w:spacing/>
      <w:ind/>
    </w:pPr>
    <w:rPr>
      <w:sz w:val="24"/>
      <w:szCs w:val="24"/>
    </w:rPr>
  </w:style>
  <w:style w:type="paragraph" w:styleId="789">
    <w:name w:val="Quote"/>
    <w:basedOn w:val="739"/>
    <w:next w:val="739"/>
    <w:link w:val="790"/>
    <w:uiPriority w:val="29"/>
    <w:qFormat/>
    <w:pPr>
      <w:pBdr/>
      <w:spacing/>
      <w:ind w:right="720" w:left="720"/>
    </w:pPr>
    <w:rPr>
      <w:i/>
    </w:rPr>
  </w:style>
  <w:style w:type="character" w:styleId="790" w:customStyle="1">
    <w:name w:val="Цитата Знак"/>
    <w:link w:val="789"/>
    <w:uiPriority w:val="29"/>
    <w:pPr>
      <w:pBdr/>
      <w:spacing/>
      <w:ind/>
    </w:pPr>
    <w:rPr>
      <w:i/>
    </w:rPr>
  </w:style>
  <w:style w:type="paragraph" w:styleId="791">
    <w:name w:val="Intense Quote"/>
    <w:basedOn w:val="739"/>
    <w:next w:val="739"/>
    <w:link w:val="7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2" w:customStyle="1">
    <w:name w:val="Насичена цитата Знак"/>
    <w:link w:val="791"/>
    <w:uiPriority w:val="30"/>
    <w:pPr>
      <w:pBdr/>
      <w:spacing/>
      <w:ind/>
    </w:pPr>
    <w:rPr>
      <w:i/>
    </w:rPr>
  </w:style>
  <w:style w:type="paragraph" w:styleId="793" w:customStyle="1">
    <w:name w:val="Верхній колонтитул1"/>
    <w:basedOn w:val="73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4" w:customStyle="1">
    <w:name w:val="Верхний колонтитул Знак"/>
    <w:basedOn w:val="740"/>
    <w:link w:val="793"/>
    <w:uiPriority w:val="99"/>
    <w:pPr>
      <w:pBdr/>
      <w:spacing/>
      <w:ind/>
    </w:pPr>
  </w:style>
  <w:style w:type="paragraph" w:styleId="795" w:customStyle="1">
    <w:name w:val="Нижній колонтитул1"/>
    <w:basedOn w:val="739"/>
    <w:link w:val="7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6" w:customStyle="1">
    <w:name w:val="Нижний колонтитул Знак"/>
    <w:basedOn w:val="740"/>
    <w:link w:val="795"/>
    <w:uiPriority w:val="99"/>
    <w:pPr>
      <w:pBdr/>
      <w:spacing/>
      <w:ind/>
    </w:pPr>
  </w:style>
  <w:style w:type="table" w:styleId="797">
    <w:name w:val="Table Grid"/>
    <w:basedOn w:val="74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Table Grid Light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11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21"/>
    <w:basedOn w:val="74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3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4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5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1 (світл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2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3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4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2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3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5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6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5 (темн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6 (кольоров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7 (кольоров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1 (світл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2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3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4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5 (темн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6 (кольоров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7 (кольоров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24">
    <w:name w:val="footnote text"/>
    <w:basedOn w:val="739"/>
    <w:link w:val="92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5" w:customStyle="1">
    <w:name w:val="Текст виноски Знак"/>
    <w:link w:val="924"/>
    <w:uiPriority w:val="99"/>
    <w:pPr>
      <w:pBdr/>
      <w:spacing/>
      <w:ind/>
    </w:pPr>
    <w:rPr>
      <w:sz w:val="18"/>
    </w:rPr>
  </w:style>
  <w:style w:type="character" w:styleId="926">
    <w:name w:val="footnote reference"/>
    <w:basedOn w:val="740"/>
    <w:uiPriority w:val="99"/>
    <w:unhideWhenUsed/>
    <w:pPr>
      <w:pBdr/>
      <w:spacing/>
      <w:ind/>
    </w:pPr>
    <w:rPr>
      <w:vertAlign w:val="superscript"/>
    </w:rPr>
  </w:style>
  <w:style w:type="paragraph" w:styleId="927">
    <w:name w:val="toc 1"/>
    <w:basedOn w:val="739"/>
    <w:next w:val="739"/>
    <w:uiPriority w:val="39"/>
    <w:unhideWhenUsed/>
    <w:pPr>
      <w:pBdr/>
      <w:spacing w:after="57"/>
      <w:ind/>
    </w:pPr>
  </w:style>
  <w:style w:type="paragraph" w:styleId="928">
    <w:name w:val="toc 2"/>
    <w:basedOn w:val="739"/>
    <w:next w:val="739"/>
    <w:uiPriority w:val="39"/>
    <w:unhideWhenUsed/>
    <w:pPr>
      <w:pBdr/>
      <w:spacing w:after="57"/>
      <w:ind w:left="283"/>
    </w:pPr>
  </w:style>
  <w:style w:type="paragraph" w:styleId="929">
    <w:name w:val="toc 3"/>
    <w:basedOn w:val="739"/>
    <w:next w:val="739"/>
    <w:uiPriority w:val="39"/>
    <w:unhideWhenUsed/>
    <w:pPr>
      <w:pBdr/>
      <w:spacing w:after="57"/>
      <w:ind w:left="567"/>
    </w:pPr>
  </w:style>
  <w:style w:type="paragraph" w:styleId="930">
    <w:name w:val="toc 4"/>
    <w:basedOn w:val="739"/>
    <w:next w:val="739"/>
    <w:uiPriority w:val="39"/>
    <w:unhideWhenUsed/>
    <w:pPr>
      <w:pBdr/>
      <w:spacing w:after="57"/>
      <w:ind w:left="850"/>
    </w:pPr>
  </w:style>
  <w:style w:type="paragraph" w:styleId="931">
    <w:name w:val="toc 5"/>
    <w:basedOn w:val="739"/>
    <w:next w:val="739"/>
    <w:uiPriority w:val="39"/>
    <w:unhideWhenUsed/>
    <w:pPr>
      <w:pBdr/>
      <w:spacing w:after="57"/>
      <w:ind w:left="1134"/>
    </w:pPr>
  </w:style>
  <w:style w:type="paragraph" w:styleId="932">
    <w:name w:val="toc 6"/>
    <w:basedOn w:val="739"/>
    <w:next w:val="739"/>
    <w:uiPriority w:val="39"/>
    <w:unhideWhenUsed/>
    <w:pPr>
      <w:pBdr/>
      <w:spacing w:after="57"/>
      <w:ind w:left="1417"/>
    </w:pPr>
  </w:style>
  <w:style w:type="paragraph" w:styleId="933">
    <w:name w:val="toc 7"/>
    <w:basedOn w:val="739"/>
    <w:next w:val="739"/>
    <w:uiPriority w:val="39"/>
    <w:unhideWhenUsed/>
    <w:pPr>
      <w:pBdr/>
      <w:spacing w:after="57"/>
      <w:ind w:left="1701"/>
    </w:pPr>
  </w:style>
  <w:style w:type="paragraph" w:styleId="934">
    <w:name w:val="toc 8"/>
    <w:basedOn w:val="739"/>
    <w:next w:val="739"/>
    <w:uiPriority w:val="39"/>
    <w:unhideWhenUsed/>
    <w:pPr>
      <w:pBdr/>
      <w:spacing w:after="57"/>
      <w:ind w:left="1984"/>
    </w:pPr>
  </w:style>
  <w:style w:type="paragraph" w:styleId="935">
    <w:name w:val="toc 9"/>
    <w:basedOn w:val="739"/>
    <w:next w:val="739"/>
    <w:uiPriority w:val="39"/>
    <w:unhideWhenUsed/>
    <w:pPr>
      <w:pBdr/>
      <w:spacing w:after="57"/>
      <w:ind w:left="2268"/>
    </w:pPr>
  </w:style>
  <w:style w:type="paragraph" w:styleId="936">
    <w:name w:val="TOC Heading"/>
    <w:uiPriority w:val="39"/>
    <w:unhideWhenUsed/>
    <w:pPr>
      <w:pBdr/>
      <w:spacing/>
      <w:ind/>
    </w:pPr>
  </w:style>
  <w:style w:type="paragraph" w:styleId="937" w:customStyle="1">
    <w:name w:val="docdata"/>
    <w:basedOn w:val="739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8">
    <w:name w:val="Normal (Web)"/>
    <w:basedOn w:val="73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9" w:customStyle="1">
    <w:name w:val="rvps2"/>
    <w:basedOn w:val="73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40">
    <w:name w:val="Balloon Text"/>
    <w:basedOn w:val="739"/>
    <w:link w:val="94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1" w:customStyle="1">
    <w:name w:val="Текст у виносці Знак"/>
    <w:basedOn w:val="740"/>
    <w:link w:val="94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0033AD6-A6A6-4786-930A-FD30CC577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7</cp:revision>
  <dcterms:created xsi:type="dcterms:W3CDTF">2024-12-20T12:43:00Z</dcterms:created>
  <dcterms:modified xsi:type="dcterms:W3CDTF">2025-01-02T12:12:07Z</dcterms:modified>
</cp:coreProperties>
</file>