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95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eastAsia="Batang"/>
          <w:color w:val="000000" w:themeColor="text1"/>
          <w:sz w:val="28"/>
          <w:lang w:eastAsia="ru-RU"/>
        </w:rPr>
        <w:t xml:space="preserve">Д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одаток</w:t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Bdr/>
        <w:spacing w:after="0" w:line="240" w:lineRule="auto"/>
        <w:ind w:left="595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до рішення 56 сесії Менської міської ради</w:t>
      </w:r>
      <w:r>
        <w:rPr>
          <w:rFonts w:ascii="Times New Roman" w:hAnsi="Times New Roman"/>
          <w:bCs/>
          <w:iCs/>
          <w:sz w:val="28"/>
          <w:szCs w:val="28"/>
        </w:rPr>
        <w:t xml:space="preserve"> 8 скликання</w:t>
      </w:r>
      <w:r>
        <w:rPr>
          <w:rFonts w:ascii="Times New Roman" w:hAnsi="Times New Roman"/>
          <w:iCs/>
          <w:sz w:val="28"/>
          <w:szCs w:val="28"/>
        </w:rPr>
      </w:r>
    </w:p>
    <w:p>
      <w:pPr>
        <w:pBdr/>
        <w:spacing w:after="0" w:line="240" w:lineRule="auto"/>
        <w:ind w:left="5954"/>
        <w:jc w:val="both"/>
        <w:rPr>
          <w:rFonts w:ascii="Times New Roman" w:hAnsi="Times New Roman" w:eastAsia="Batang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19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грудня 2024 року №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710</w:t>
      </w:r>
      <w:bookmarkStart w:id="0" w:name="_GoBack"/>
      <w:r/>
      <w:bookmarkEnd w:id="0"/>
      <w:r/>
      <w:r>
        <w:rPr>
          <w:rFonts w:ascii="Times New Roman" w:hAnsi="Times New Roman" w:eastAsia="Batang"/>
          <w:sz w:val="28"/>
          <w:szCs w:val="28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sz w:val="36"/>
          <w:szCs w:val="36"/>
          <w:lang w:eastAsia="ru-RU"/>
        </w:rPr>
        <w:t xml:space="preserve">ПРОГРАМА </w:t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sz w:val="36"/>
          <w:szCs w:val="36"/>
          <w:lang w:eastAsia="ru-RU"/>
        </w:rPr>
        <w:t xml:space="preserve">організації харчування дітей у закладах </w:t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sz w:val="36"/>
          <w:szCs w:val="36"/>
          <w:lang w:eastAsia="ru-RU"/>
        </w:rPr>
        <w:t xml:space="preserve">дошкільної освіти Менської міської ради </w:t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sz w:val="36"/>
          <w:szCs w:val="36"/>
          <w:lang w:eastAsia="ru-RU"/>
        </w:rPr>
        <w:t xml:space="preserve">на 2025-2027 роки</w:t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м.Мена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2024 рік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/>
        <w:ind w:right="-141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Batang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1. ПАСПОРТ ПРОГРАМИ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</w:r>
    </w:p>
    <w:tbl>
      <w:tblPr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76"/>
        <w:gridCol w:w="3525"/>
        <w:gridCol w:w="1877"/>
        <w:gridCol w:w="1862"/>
        <w:gridCol w:w="1864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Програма організації харчування дітей у закладах дошкільної освіти Менської міської ради на 2025-2027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6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Підстави для розробки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Style w:val="938"/>
              <w:pBdr/>
              <w:shd w:val="clear" w:color="auto" w:fill="ffffff"/>
              <w:spacing w:after="0" w:afterAutospacing="0" w:before="0" w:beforeAutospacing="0"/>
              <w:ind/>
              <w:jc w:val="both"/>
              <w:rPr>
                <w:rFonts w:eastAsia="Batang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Відповідно до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вимог Законів України «Про освіту», «Про дошкільну освіту», «Про охорону дитинства», </w:t>
            </w:r>
            <w:r>
              <w:rPr>
                <w:sz w:val="28"/>
                <w:szCs w:val="28"/>
                <w:lang w:eastAsia="ru-RU"/>
              </w:rPr>
              <w:t xml:space="preserve">«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Про державну соціальну допомогу малозабезпеченим сім’ям»,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  <w:lang w:eastAsia="ru-RU"/>
              </w:rPr>
              <w:t xml:space="preserve">«</w:t>
            </w:r>
            <w:r>
              <w:rPr>
                <w:sz w:val="28"/>
                <w:szCs w:val="28"/>
              </w:rPr>
              <w:t xml:space="preserve">Про статус і соціальний захист громадян, які постраждали внаслідок Чорнобильської катастрофи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ро статус ветеранів війни, гарантії їх соціального захисту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»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rFonts w:eastAsia="Batang"/>
                <w:color w:val="7b7b7b" w:themeColor="accent3" w:themeShade="B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«Про внесення змін до деяких Законів України щодо забезпечення безкоштовним харчуванням дітей внутрішньо переміщених осіб» від 16.01.2020 №474-І</w:t>
            </w:r>
            <w:r>
              <w:rPr>
                <w:rFonts w:eastAsia="Batang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, «Про внесення змін до деяких законів України щод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</w:t>
            </w:r>
            <w:r>
              <w:rPr>
                <w:rFonts w:eastAsia="Batang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, постанов Кабінету Міністрів України від 02.02.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 №16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«Про затвердження</w:t>
            </w:r>
            <w:r>
              <w:rPr>
                <w:sz w:val="28"/>
                <w:szCs w:val="28"/>
              </w:rPr>
              <w:t xml:space="preserve"> Порядку організації харчування у закладах освіти та дитячих закладах оздоровлення та відпочинку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» (зі змінами), наказу Міністерства освіти і науки України від 21.11.2002  №667 «Про затвердження Порядку встановлення плати для батьків за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перебування дітей у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державних і комунальних дошкільних та інтернатних навчальних закладах» (зі змінами), від 26.08.2002 №1243 «Про невідкладні питання діяльності дошкільних та інтернатних навчальних закладів» (зі змінами) та керуючись рішеннями дванадцятої сесії Менської місь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кої ради восьмого скликання від 26.10.2021 № 597 «Про переведення закладів загальної середньої, дошкільної, позашкільної освіти,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Степанівського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 міжшкільного навчально-виробничого комбінату та Комунальної установи «Менський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інклюзивно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-ресурсний центр» Менсь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кої міської ради Чернігівської області на умови самостійного ведення господарської діяльності та бухгалтерського обліку», № 596 «Про створення Комунальної установи «Центр з обслуговування освітніх установ та закладів освіти Менської міської ради»</w:t>
            </w:r>
            <w:r>
              <w:rPr>
                <w:rFonts w:eastAsia="Batang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Розробник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Відповідальний виконавець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2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Учасники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ради, заклади дошкільної освіти, фінансове управління Менської міської ради, Комунальна установа «Центр з обслуговування освітніх установ та закладів освіти»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Дія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Дія програми поширюється на територію населених пунктів, які увійшли до складу Менської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3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 реалізації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2025-2027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3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 Менської міської територіальної громади, інші джерела фінансування, не заборонені законодавством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3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Обсяги фінансування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Обсяг коштів визначається рішенням сесії міської ради на відповідний рік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Загальний орієнтовний обсяг фінансових ресурсів, необхідних для реалізації програми на 2025-2027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рік (грн)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 рік (грн)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2027 рік (грн)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16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Загальний орієнтовний обсяг фінансових ресурсів, необхідних для реалізації програми, всього: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тому числі: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5 487 300,00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6 728 200,00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7 330 550, 00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кошти бюджету Менської міської ТГ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*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4 887 300,00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6 028 200,00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6 530 550,00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25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кошти спеціального фонду (плата за послуги, що надаються бюджетними установами згідно з їх основною діяльністю, спонсорські кошти, надходження благодійних внесків від батьків в натуральній формі, інші джерела коштів, не заборонених законодавством)**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600 00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700 000,00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800 000,00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937"/>
        <w:pBdr/>
        <w:spacing w:after="0" w:line="240" w:lineRule="auto"/>
        <w:ind w:right="-141" w:left="0"/>
        <w:rPr>
          <w:rFonts w:ascii="Times New Roman" w:hAnsi="Times New Roman" w:eastAsia="Batang"/>
          <w:sz w:val="20"/>
          <w:szCs w:val="20"/>
          <w:lang w:eastAsia="ru-RU"/>
        </w:rPr>
      </w:pPr>
      <w:r>
        <w:rPr>
          <w:rFonts w:ascii="Times New Roman" w:hAnsi="Times New Roman" w:eastAsia="Batang"/>
          <w:sz w:val="20"/>
          <w:szCs w:val="20"/>
          <w:lang w:eastAsia="ru-RU"/>
        </w:rPr>
      </w:r>
      <w:r>
        <w:rPr>
          <w:rFonts w:ascii="Times New Roman" w:hAnsi="Times New Roman" w:eastAsia="Batang"/>
          <w:sz w:val="20"/>
          <w:szCs w:val="20"/>
          <w:lang w:eastAsia="ru-RU"/>
        </w:rPr>
      </w:r>
    </w:p>
    <w:p>
      <w:pPr>
        <w:pStyle w:val="937"/>
        <w:pBdr/>
        <w:spacing w:after="0" w:line="240" w:lineRule="auto"/>
        <w:ind w:right="-141" w:left="0"/>
        <w:rPr>
          <w:rFonts w:ascii="Times New Roman" w:hAnsi="Times New Roman" w:eastAsia="Batang"/>
          <w:sz w:val="20"/>
          <w:szCs w:val="20"/>
          <w:lang w:eastAsia="ru-RU"/>
        </w:rPr>
      </w:pPr>
      <w:r>
        <w:rPr>
          <w:rFonts w:ascii="Times New Roman" w:hAnsi="Times New Roman" w:eastAsia="Batang"/>
          <w:sz w:val="20"/>
          <w:szCs w:val="20"/>
          <w:lang w:eastAsia="ru-RU"/>
        </w:rPr>
        <w:t xml:space="preserve">*</w:t>
      </w:r>
      <w:r>
        <w:rPr>
          <w:rFonts w:ascii="Times New Roman" w:hAnsi="Times New Roman" w:eastAsia="Batang"/>
          <w:sz w:val="20"/>
          <w:szCs w:val="20"/>
          <w:lang w:val="ru-RU" w:eastAsia="ru-RU"/>
        </w:rPr>
        <w:t xml:space="preserve">*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У разі сплати за харчування  коштами спеціального фонду (батьківська плата за харчування дітей у ЗДО становить 50% від вартості 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дітодня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) - вартість 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дітодня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 в 2025 році становить –55 грн в день на одну дитину, 2026 році – 60 грн, 2027 році – 65 грн.</w:t>
      </w:r>
      <w:r>
        <w:rPr>
          <w:rFonts w:ascii="Times New Roman" w:hAnsi="Times New Roman" w:eastAsia="Batang"/>
          <w:sz w:val="20"/>
          <w:szCs w:val="20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line="240" w:lineRule="auto"/>
        <w:ind w:firstLine="283"/>
        <w:jc w:val="center"/>
        <w:rPr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ІІ.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Визначення проблеми, на розв'язання якої спрямована Програма</w:t>
      </w:r>
      <w:r>
        <w:rPr>
          <w:b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Найважливішими компонентами розвитку особистості дитини є її фізичне, психічне та духовне здоров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’я, стан якого визначається впливом на нього усього комплексу соціально-економічних, екологічних і духовних факторів. У контексті формування гармонійно розвиненої особистості постає питання створення умов для збереження здоров’я дітей, їх всебічного розвит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ку, навчання та виховання.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Одним із основних факторів впливу на здоров’я дітей є повноцінне і раціональне харчування.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right="-14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24.03.2021  №305 «Про затвердження норм та Порядку організації харчування у закладах освіти та д</w:t>
      </w:r>
      <w:r>
        <w:rPr>
          <w:rFonts w:ascii="Times New Roman" w:hAnsi="Times New Roman"/>
          <w:sz w:val="28"/>
          <w:szCs w:val="28"/>
        </w:rPr>
        <w:t xml:space="preserve">итячих закладах оздоровлення та відпочинку» (зі змінами) суттєво змінено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принципи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планування та механізм організації харчування здобувачів освіти/дітей у закладах дошкільної освіти,</w:t>
      </w:r>
      <w:r>
        <w:rPr>
          <w:shd w:val="clear" w:color="auto" w:fill="ffffff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 передбачено забезпечення більш збалансованого харчування, що вплинуло на </w:t>
      </w:r>
      <w:r>
        <w:rPr>
          <w:rFonts w:ascii="Times New Roman" w:hAnsi="Times New Roman"/>
          <w:sz w:val="28"/>
          <w:szCs w:val="28"/>
        </w:rPr>
        <w:t xml:space="preserve">формування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примірного чотиритижневого сезонного меню - документ, що містить набір страв, вихід (масу) їх порцій для різних вікових груп, враховує особливі дієтичні потреби здобувачів освіти/дітей (у разі наявності), сезонність (осінь, зима, весна, літо) 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потребує збільшення грошових норм харчування на 1 дитину в день. </w:t>
      </w:r>
      <w:r>
        <w:rPr>
          <w:rFonts w:ascii="Times New Roman" w:hAnsi="Times New Roman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/>
      </w:pPr>
      <w:r>
        <w:rPr>
          <w:b/>
          <w:sz w:val="28"/>
          <w:szCs w:val="28"/>
        </w:rPr>
        <w:t xml:space="preserve">Безоплатним гарячим харчуванням, </w:t>
      </w:r>
      <w:r>
        <w:rPr>
          <w:sz w:val="28"/>
          <w:szCs w:val="28"/>
          <w:shd w:val="clear" w:color="auto" w:fill="ffffff"/>
        </w:rPr>
        <w:t xml:space="preserve">за рахунок коштів місцевого бюджету, відповідно до встановленого в закладі освіти режиму (кратності) харчування, забезпечуються вихованці закладу дошкільної освіти</w:t>
      </w:r>
      <w:r>
        <w:rPr>
          <w:sz w:val="28"/>
          <w:szCs w:val="28"/>
        </w:rPr>
        <w:t xml:space="preserve"> з числа:</w:t>
      </w:r>
      <w:r>
        <w:t xml:space="preserve"> </w:t>
      </w:r>
      <w:r/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дітей-сиріт;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дітей, позбавлених батьківського піклування;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особливими освітніми потребами, які навчаються у спеціальних та інклюзивних класах (групах);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із сімей, які отримують допомогу відповідно до </w:t>
      </w:r>
      <w:hyperlink r:id="rId14" w:tooltip="https://zakon.rada.gov.ua/laws/show/1768-14" w:history="1">
        <w:r>
          <w:rPr>
            <w:rStyle w:val="934"/>
            <w:rFonts w:eastAsia="Arial"/>
            <w:color w:val="auto"/>
            <w:sz w:val="28"/>
            <w:szCs w:val="28"/>
            <w:u w:val="none"/>
          </w:rPr>
          <w:t xml:space="preserve">Закону України</w:t>
        </w:r>
      </w:hyperlink>
      <w:r>
        <w:rPr>
          <w:sz w:val="28"/>
          <w:szCs w:val="28"/>
        </w:rPr>
        <w:t xml:space="preserve"> «Про державну соціальну допомогу малозабезпеченим сім’ям»;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</w:t>
      </w:r>
      <w:r>
        <w:rPr>
          <w:sz w:val="28"/>
          <w:szCs w:val="28"/>
        </w:rPr>
        <w:t xml:space="preserve">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5" w:tooltip="https://zakon.rada.gov.ua/laws/show/796-12" w:history="1">
        <w:r>
          <w:rPr>
            <w:rStyle w:val="934"/>
            <w:rFonts w:eastAsia="Arial"/>
            <w:color w:val="auto"/>
            <w:sz w:val="28"/>
            <w:szCs w:val="28"/>
            <w:u w:val="none"/>
          </w:rPr>
          <w:t xml:space="preserve">Закону України</w:t>
        </w:r>
      </w:hyperlink>
      <w:r>
        <w:rPr>
          <w:sz w:val="28"/>
          <w:szCs w:val="28"/>
        </w:rPr>
        <w:t xml:space="preserve"> «Про статус і соціальний захист громадян, які постраждали внаслідок Чорнобильської катастрофи»;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внутрішньо переміщених осіб, діти, які мають статус дитини, яка постраждала внаслідок воєнних дій і збройних конфліктів;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осіб, визначених у</w:t>
      </w:r>
      <w:hyperlink r:id="rId16" w:tooltip="https://zakon.rada.gov.ua/laws/show/3551-12#n147" w:anchor="n147" w:history="1">
        <w:r>
          <w:rPr>
            <w:rStyle w:val="934"/>
            <w:rFonts w:eastAsia="Arial"/>
            <w:color w:val="auto"/>
            <w:sz w:val="28"/>
            <w:szCs w:val="28"/>
            <w:u w:val="none"/>
          </w:rPr>
          <w:t xml:space="preserve"> статті 10 </w:t>
        </w:r>
      </w:hyperlink>
      <w:r>
        <w:rPr>
          <w:sz w:val="28"/>
          <w:szCs w:val="28"/>
        </w:rPr>
        <w:t xml:space="preserve">Закону України «Про статус ветеранів війни, гарантії їх соціального захисту»;</w:t>
      </w:r>
      <w:r>
        <w:rPr>
          <w:sz w:val="28"/>
          <w:szCs w:val="28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з ч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исла осіб, які мають статус «учасник бойових дій»;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дітей, один з батьків яких загинув (пропав безвісти), помер під час захисту незалежності та суверенітету України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з інвалідністю;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військовослужбовців Збройних Сил України, інших військових фо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рмувань; співробітників Національної поліції, залучених до виконання завдань в зоні бойових дій (на період дії воєнного стану в Україні);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у виняткових випадках (в разі, якщо сім’я опинилась в складних життєвих обставинах або батьки неспромо</w:t>
      </w:r>
      <w:r>
        <w:rPr>
          <w:rFonts w:ascii="Times New Roman" w:hAnsi="Times New Roman"/>
          <w:sz w:val="28"/>
          <w:szCs w:val="28"/>
          <w:lang w:eastAsia="uk-UA"/>
        </w:rPr>
        <w:t xml:space="preserve">жні з поважних </w:t>
      </w:r>
      <w:r>
        <w:rPr>
          <w:rFonts w:ascii="Times New Roman" w:hAnsi="Times New Roman"/>
          <w:sz w:val="28"/>
          <w:szCs w:val="28"/>
          <w:lang w:eastAsia="uk-UA"/>
        </w:rPr>
        <w:t xml:space="preserve">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 Менської міської ради).</w:t>
      </w:r>
      <w:r>
        <w:rPr>
          <w:rFonts w:ascii="Times New Roman" w:hAnsi="Times New Roman"/>
          <w:lang w:eastAsia="uk-UA"/>
        </w:rPr>
      </w:r>
    </w:p>
    <w:p>
      <w:pPr>
        <w:pBdr/>
        <w:tabs>
          <w:tab w:val="left" w:leader="none" w:pos="426"/>
          <w:tab w:val="left" w:leader="none" w:pos="851"/>
        </w:tabs>
        <w:spacing w:after="0" w:line="240" w:lineRule="auto"/>
        <w:ind w:right="-141"/>
        <w:jc w:val="both"/>
        <w:rPr>
          <w:rStyle w:val="940"/>
          <w:sz w:val="28"/>
          <w:szCs w:val="28"/>
        </w:rPr>
      </w:pPr>
      <w:r>
        <w:rPr>
          <w:rStyle w:val="940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Розмір плати зменш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ено на 50 відсотків для батьків, у сім’ях яких троє і більше дітей до 18 років.</w:t>
      </w:r>
      <w:r>
        <w:rPr>
          <w:rStyle w:val="940"/>
          <w:rFonts w:ascii="Times New Roman" w:hAnsi="Times New Roman"/>
          <w:sz w:val="28"/>
          <w:szCs w:val="28"/>
        </w:rPr>
        <w:t xml:space="preserve"> </w:t>
      </w:r>
      <w:r>
        <w:rPr>
          <w:rStyle w:val="94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Станом на 01.11.2024  загальна кількість дітей, які охоплені харчуванням в 13 закладах дошкільної освіти та одному дошкільному структурному підрозділі у складі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Волосківської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гімназії - 464 дитини.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Style w:val="939"/>
        </w:rPr>
      </w:pPr>
      <w:r>
        <w:rPr>
          <w:rStyle w:val="939"/>
          <w:rFonts w:ascii="Times New Roman" w:hAnsi="Times New Roman"/>
          <w:sz w:val="28"/>
          <w:szCs w:val="28"/>
        </w:rPr>
        <w:t xml:space="preserve">Безоплатним гарячим харчуванням на звітний період у закладах дошкільної освіти охоплено 352 дитини (76%) від загальної кількості вихованців; розмір плати зменшено на 50 відсотків для батьків, у сім’ях яких троє і більше дітей до 18 </w:t>
      </w:r>
      <w:r>
        <w:rPr>
          <w:rStyle w:val="939"/>
          <w:rFonts w:ascii="Times New Roman" w:hAnsi="Times New Roman"/>
          <w:sz w:val="28"/>
          <w:szCs w:val="28"/>
        </w:rPr>
        <w:t xml:space="preserve">років – 25 особам; число батьків, які вносять батьківську плату становить – 112 осіб.</w:t>
      </w:r>
      <w:r>
        <w:rPr>
          <w:rStyle w:val="939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 зв’язку з переведенням з 01 січня 2022 року закладів дошкільної освіти на умови самостійного ведення господарської діяльності та бухгалтерського обліку Відділ освіти че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рез Комунальну установу «Центр з обслуговування освітніх установ та закладів освіти» забезпечує координацію процесу організації харчування та контроль безоплатного та пільгового гарячого харчування дітей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дошкільного віку, які відвідують заклади дошкільної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освіти Менської ТГ категорії яких визначені даною Програмою.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Контроль за харчовими нормами, якістю продукції, яка надходить до харчоблоків, організація харчування в заклад дошкільної освіти здійснюється керівником відповідного закладу в рамках системи </w:t>
      </w:r>
      <w:r>
        <w:rPr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ССР).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Комунальна установа «Центр з обслуговування освітніх установ та закладів освіти» спільно з адміністрацією закладу освіти забезпечує ведення бухгалтерського обліку продуктів харчування та продовольчої сировини, аналітичний облік батьківської плати за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харчування в закладах освіти.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Заклади дошкільної освіти забезпечують замовлення необхідної кількості продуктів харчування та продовольчої сировини, їх приймання, складання меню-розкладу, виготовлення страв, подання дітям готових страв, ведення обліку діте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й, які отримують харчування, контроль за харчуванням, інформування  батьків про організацію харчування дітей в закладі.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line="240" w:lineRule="auto"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ІІІ. Мета  Програми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pBdr/>
        <w:spacing w:after="0" w:line="240" w:lineRule="auto"/>
        <w:ind w:right="-141" w:firstLine="708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Основна мета Програми – створення безпечного, здорового освітнього середовища та безпечних умов організації харчування дітей, забезпечення вихованців закладів дошкільної освіти повноцінним гарячим харчуванням та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забезпечення гарячим безоплатним та пільгови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 харчуванням відповідні категорії здобувачів освіти визначені даною Програмою.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. Шляхи і  способи  розв'язання   проблеми,   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строк   виконання Програми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Програма розрахована на 2025-2027 роки.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Реалізація даної Програми  має здійснюватися шляхом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удосконалення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системи організації харчування у закладах дошкільної освіти Менської ТГ; збереження здоров’я дітей та забезпечення повноцінного і раціонального харчування вихованців закладів дошкільної освіти Менської ТГ; удосконалення управління системою ор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ганізації харчування;  створення умов для повноцінного харчування вихованців закладів дошкільної освіти; забезпечення гарячим безоплатним та пільговим харчуванням дітей дошкільного віку, які відвідують заклади дошкільної освіти Менської ТГ, категорії яких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визначені даною Програмою.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межах програми буде здійснено забезпечення організації харчування у закладах </w:t>
      </w:r>
      <w:r>
        <w:rPr>
          <w:rFonts w:ascii="Times New Roman" w:hAnsi="Times New Roman"/>
          <w:sz w:val="28"/>
          <w:szCs w:val="28"/>
          <w:lang w:eastAsia="ru-RU"/>
        </w:rPr>
        <w:t xml:space="preserve">дошкільної освіти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Менської міської територіальної громади, а саме для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безоплатного харчування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(в обсязі 100% від вартості харчування на день з 01 січн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 по 31 грудня щорічно)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наступні категорії здобувачів освіти</w:t>
      </w:r>
      <w:r>
        <w:rPr>
          <w:b/>
          <w:bCs/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дітей-сиріт;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дітей, позбавлених батьківського піклування;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особливими освітніми потребами, які навчаються у спеціальних та інклюзивних класах (групах);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із сімей, які отримують допо</w:t>
      </w:r>
      <w:r>
        <w:rPr>
          <w:sz w:val="28"/>
          <w:szCs w:val="28"/>
        </w:rPr>
        <w:t xml:space="preserve">могу відповідно до </w:t>
      </w:r>
      <w:hyperlink r:id="rId17" w:tooltip="https://zakon.rada.gov.ua/laws/show/1768-14" w:history="1">
        <w:r>
          <w:rPr>
            <w:rStyle w:val="934"/>
            <w:rFonts w:eastAsia="Arial"/>
            <w:color w:val="auto"/>
            <w:sz w:val="28"/>
            <w:szCs w:val="28"/>
            <w:u w:val="none"/>
          </w:rPr>
          <w:t xml:space="preserve">Закону України</w:t>
        </w:r>
      </w:hyperlink>
      <w:r>
        <w:rPr>
          <w:sz w:val="28"/>
          <w:szCs w:val="28"/>
        </w:rPr>
        <w:t xml:space="preserve"> «Про державну соціальну допомогу малозабезпеченим сім’ям»;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</w:t>
      </w:r>
      <w:r>
        <w:rPr>
          <w:sz w:val="28"/>
          <w:szCs w:val="28"/>
        </w:rPr>
        <w:t xml:space="preserve">проживали у зоні безумовного (обов’язкового) ві</w:t>
      </w:r>
      <w:r>
        <w:rPr>
          <w:sz w:val="28"/>
          <w:szCs w:val="28"/>
        </w:rPr>
        <w:t xml:space="preserve">дселення з моменту аварії до прийняття постанови про відселення, відповідно до </w:t>
      </w:r>
      <w:hyperlink r:id="rId18" w:tooltip="https://zakon.rada.gov.ua/laws/show/796-12" w:history="1">
        <w:r>
          <w:rPr>
            <w:rStyle w:val="934"/>
            <w:rFonts w:eastAsia="Arial"/>
            <w:color w:val="auto"/>
            <w:sz w:val="28"/>
            <w:szCs w:val="28"/>
            <w:u w:val="none"/>
          </w:rPr>
          <w:t xml:space="preserve">Закону України</w:t>
        </w:r>
      </w:hyperlink>
      <w:r>
        <w:rPr>
          <w:sz w:val="28"/>
          <w:szCs w:val="28"/>
        </w:rPr>
        <w:t xml:space="preserve"> «Про статус і соціальний захист громадян, які постражда</w:t>
      </w:r>
      <w:r>
        <w:rPr>
          <w:sz w:val="28"/>
          <w:szCs w:val="28"/>
        </w:rPr>
        <w:t xml:space="preserve">ли внаслідок Чорнобильської катастрофи»;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внутрішньо переміщених осіб, діти, які мають статус дитини, яка постраждала внаслідок воєнних дій і збройних конфліктів;</w:t>
      </w:r>
      <w:r>
        <w:rPr>
          <w:sz w:val="28"/>
          <w:szCs w:val="28"/>
        </w:rPr>
      </w:r>
    </w:p>
    <w:p>
      <w:pPr>
        <w:pStyle w:val="938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осіб, загиблих/померлих (</w:t>
      </w:r>
      <w:r>
        <w:rPr>
          <w:sz w:val="28"/>
          <w:szCs w:val="28"/>
        </w:rPr>
        <w:t xml:space="preserve">пропавших</w:t>
      </w:r>
      <w:r>
        <w:rPr>
          <w:sz w:val="28"/>
          <w:szCs w:val="28"/>
        </w:rPr>
        <w:t xml:space="preserve"> безвісти) ветеранів війни (стат</w:t>
      </w:r>
      <w:r>
        <w:rPr>
          <w:sz w:val="28"/>
          <w:szCs w:val="28"/>
        </w:rPr>
        <w:t xml:space="preserve">тя 10) та загиблих (померлих) Захисників і Захисниць України (стаття 10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) відповідно до Закону України «Про статус ветеранів війни, гарантії їх соціального захисту”;</w:t>
      </w:r>
      <w:r>
        <w:rPr>
          <w:sz w:val="28"/>
          <w:szCs w:val="28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з числа осіб, які мають статус «учасник бойових дій»;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дітей, один з батьків яких загинув (пропав безвісти), помер під час захисту незалежності та суверенітету України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з інвалідністю;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військовослужбовців Збройних Сил України, інших військових формувань; співробітників Національної поліції, залуче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них до виконання завдань в зоні бойових дій (на період дії воєнного стану в Україні);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осіб, які належать до осіб з інвалідністю внаслідок війни;  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37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у виняткових випадках (в разі, якщо сім’я опинилась в складних життєвих обставинах або батьки неспром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uk-UA"/>
        </w:rPr>
        <w:t xml:space="preserve">жні з поважних 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 Менської міської ради).</w:t>
      </w:r>
      <w:r>
        <w:rPr>
          <w:rFonts w:ascii="Times New Roman" w:hAnsi="Times New Roman"/>
          <w:lang w:eastAsia="uk-UA"/>
        </w:rPr>
      </w:r>
    </w:p>
    <w:p>
      <w:pPr>
        <w:pBdr/>
        <w:tabs>
          <w:tab w:val="left" w:leader="none" w:pos="426"/>
          <w:tab w:val="left" w:leader="none" w:pos="851"/>
        </w:tabs>
        <w:spacing w:after="0" w:line="240" w:lineRule="auto"/>
        <w:ind w:right="-141"/>
        <w:jc w:val="both"/>
        <w:rPr>
          <w:rStyle w:val="940"/>
          <w:sz w:val="28"/>
          <w:szCs w:val="28"/>
        </w:rPr>
      </w:pPr>
      <w:r>
        <w:rPr>
          <w:rStyle w:val="940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Ро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змір плати за харчування зменшується на 50 відсотків для батьків, у сім’ях яких троє і більше дітей до 18 років.</w:t>
      </w:r>
      <w:r>
        <w:rPr>
          <w:rStyle w:val="940"/>
          <w:rFonts w:ascii="Times New Roman" w:hAnsi="Times New Roman"/>
          <w:sz w:val="28"/>
          <w:szCs w:val="28"/>
        </w:rPr>
        <w:t xml:space="preserve"> </w:t>
      </w:r>
      <w:r>
        <w:rPr>
          <w:rStyle w:val="940"/>
          <w:sz w:val="28"/>
          <w:szCs w:val="28"/>
        </w:rPr>
      </w:r>
    </w:p>
    <w:p>
      <w:pPr>
        <w:pBdr/>
        <w:spacing w:after="0" w:line="240" w:lineRule="auto"/>
        <w:ind w:right="-141" w:firstLine="720"/>
        <w:jc w:val="both"/>
        <w:rPr>
          <w:rFonts w:ascii="Times New Roman" w:hAnsi="Times New Roman" w:eastAsia="Batang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Для здобувачів освіти, які не мають пільг на харчування, фінансування харчування дітей в закладах дошкільної освіти забезпечується наступним ч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ином: за рахунок коштів місцевого бюджету (50% від вартості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дітодня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), за кошти батьків, у вигляді плати за харчування - (50% від вартості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дітодня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), яка буде становити: в 2025 році – 55 грн в день на одну дитину, в 2026 році – 60 грн  в день на одну дитину,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 2027 році – 65 грн в день на одну дитину. При цьому батьківська плата за харчування дитини у закладі дошкільної освіти буде становити відповідно: 2025 рік – 27,5 грн в день на одну дитину, 2026 рік- 30,0 грн в день на одну дитину, 2027 рік – 32,5 грн в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день на одну дитину).</w:t>
      </w:r>
      <w:r>
        <w:rPr>
          <w:rFonts w:ascii="Times New Roman" w:hAnsi="Times New Roman" w:eastAsia="Batang"/>
          <w:lang w:eastAsia="ru-RU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 Очікувані результати   виконання   програми,   визначення  її </w:t>
      </w:r>
      <w:r>
        <w:rPr>
          <w:rFonts w:ascii="Times New Roman" w:hAnsi="Times New Roman"/>
          <w:b/>
          <w:sz w:val="28"/>
          <w:szCs w:val="28"/>
          <w:lang w:eastAsia="uk-UA"/>
        </w:rPr>
        <w:br/>
        <w:t xml:space="preserve">ефективності</w:t>
      </w:r>
      <w:r>
        <w:rPr>
          <w:rFonts w:ascii="Times New Roman" w:hAnsi="Times New Roman"/>
          <w:b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Виконання Програми дасть змогу: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</w:r>
    </w:p>
    <w:p>
      <w:pPr>
        <w:numPr>
          <w:ilvl w:val="0"/>
          <w:numId w:val="3"/>
        </w:numPr>
        <w:pBdr/>
        <w:shd w:val="clear" w:color="auto" w:fill="ffffff"/>
        <w:tabs>
          <w:tab w:val="num" w:leader="none" w:pos="360"/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забезпечення повноцінного і раціонального харчування дітей дошкільного віку;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2"/>
        </w:numPr>
        <w:pBdr/>
        <w:shd w:val="clear" w:color="auto" w:fill="ffffff"/>
        <w:tabs>
          <w:tab w:val="num" w:leader="none" w:pos="360"/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забезпечити гарячим харчуванням дітей дошкільного віку, які відвідують заклади дошкільної освіти Менської громади в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т.ч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 гарячим безоплатним та пільговим харчуванням,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рахунок коштів місцевого бюджету, відповідно до встановленого в закладі освіти режиму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(кратності) харчування для вихованців закладу освіти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 числа категорій визначених даною Програмою;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3"/>
        </w:num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формувати навички правильного та здорового харчування;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3"/>
        </w:numPr>
        <w:pBdr/>
        <w:shd w:val="clear" w:color="auto" w:fill="ffffff"/>
        <w:tabs>
          <w:tab w:val="num" w:leader="none" w:pos="360"/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надавати збалансоване харчування відповідно до віку і стану здоров’я дітей, урізноманітнити раціон харчування;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3"/>
        </w:numPr>
        <w:pBdr/>
        <w:shd w:val="clear" w:color="auto" w:fill="ffffff"/>
        <w:spacing w:after="0" w:line="240" w:lineRule="auto"/>
        <w:ind w:firstLine="360" w:left="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поліпшити контроль за якістю сировини та готової продукції за системою </w:t>
      </w:r>
      <w:r>
        <w:rPr>
          <w:sz w:val="28"/>
          <w:szCs w:val="28"/>
          <w:shd w:val="clear" w:color="auto" w:fill="ffffff"/>
        </w:rPr>
        <w:t xml:space="preserve">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НАССР);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3"/>
        </w:numPr>
        <w:pBdr/>
        <w:shd w:val="clear" w:color="auto" w:fill="ffffff"/>
        <w:tabs>
          <w:tab w:val="num" w:leader="none" w:pos="360"/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забезпечити раціональне та ефективне використання бюджетних 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позабюджетних коштів.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37"/>
        <w:pBdr/>
        <w:spacing w:after="0" w:line="240" w:lineRule="auto"/>
        <w:ind/>
        <w:rPr>
          <w:rFonts w:ascii="Times New Roman" w:hAnsi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І.  </w:t>
      </w:r>
      <w:r>
        <w:rPr>
          <w:rFonts w:ascii="Times New Roman" w:hAnsi="Times New Roman"/>
          <w:b/>
          <w:color w:val="212529"/>
          <w:sz w:val="28"/>
          <w:szCs w:val="28"/>
          <w:lang w:eastAsia="uk-UA"/>
        </w:rPr>
        <w:t xml:space="preserve">Оцінка фінансових,  матеріально-технічних, трудових ресурсів, </w:t>
      </w:r>
      <w:r>
        <w:rPr>
          <w:rFonts w:ascii="Times New Roman" w:hAnsi="Times New Roman"/>
          <w:b/>
          <w:color w:val="212529"/>
          <w:sz w:val="28"/>
          <w:szCs w:val="28"/>
          <w:lang w:eastAsia="uk-UA"/>
        </w:rPr>
        <w:br/>
        <w:t xml:space="preserve">необхідних для виконання програми</w:t>
      </w:r>
      <w:r>
        <w:rPr>
          <w:rFonts w:ascii="Times New Roman" w:hAnsi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Фінансування Програми здійснюється за рахунок коштів бюджету  Менської міської територіальної громади, а також за рахунок інших джерел, не заборонених законодавством України.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При цьому обсяг коштів визначається під час формування бюджету з урахуванням його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фінансових можливостей та може змінюватися в процесі виконання бюджету при внесенні змін до нього, з урахуванням 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того, що протягом року можлива зміна кількості дітей, які відвідують заклади дошкільної освіти, а також кількість дітей, яким надається безоп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латне та пільгове гаряче харчування.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Прогнозований обсяг коштів, що планується залучити до фінансування в 2025-2027 роках, передбачається  у  сумі  19 546 050,00  грн.  З них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кошти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місцевого бюджету у межах загального обсягу асигнувань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– 17 446 050,00 грн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;    кошти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спеціального фонду (плата за послуги, що надаються бюджетними установами згідно з їх основною діяльністю, спонсорські кошти, надходження благодійних внесків від батьків в натуральній формі, інші джерела коштів, не заборонених законодавством – 2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100 000,00 грн.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Відділ освіти за підсумками кожного року та щоквартально подає звіт про виконання Програми та вносить пропозиції щодо потреби в коштах на наступний рік, до кінця дії Програми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37"/>
        <w:pBdr/>
        <w:spacing w:after="0" w:line="240" w:lineRule="auto"/>
        <w:ind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ІІ.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Координація та контроль за ходом виконання Програми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Організація виконання Програми покладається на Відділ освіти Менської міської ради, Комунальну установу «</w:t>
      </w:r>
      <w:r>
        <w:rPr>
          <w:rFonts w:ascii="Times New Roman" w:hAnsi="Times New Roman"/>
          <w:sz w:val="28"/>
          <w:szCs w:val="28"/>
          <w:lang w:eastAsia="ru-RU"/>
        </w:rPr>
        <w:t xml:space="preserve">Центр з обслуговування освітніх установ та закладів освіти», керівників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  закладів дошкільної освіти Менської ТГ.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Контроль за ходом реалізації Прогр</w:t>
      </w:r>
      <w:r>
        <w:rPr>
          <w:rFonts w:ascii="Times New Roman" w:hAnsi="Times New Roman"/>
          <w:sz w:val="28"/>
          <w:szCs w:val="28"/>
          <w:lang w:eastAsia="ru-RU"/>
        </w:rPr>
        <w:t xml:space="preserve">ами здійснюється постійною комісією Менської міської ради з питань охорони здоров’я, соціального захисту населення, освіти, культури, молоді, фізкультури і спорту, заступником голови з питань діяльності виконавчих органів ради Прищепою В.В.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Начальник Відділу освіти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  <w:t xml:space="preserve">Ірина ЛУК’ЯНЕНКО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i/>
        <w:sz w:val="24"/>
      </w:rPr>
      <w:fldChar w:fldCharType="begin"/>
    </w:r>
    <w:r>
      <w:rPr>
        <w:rFonts w:ascii="Times New Roman" w:hAnsi="Times New Roman" w:eastAsia="Times New Roman"/>
        <w:i/>
        <w:sz w:val="24"/>
      </w:rPr>
      <w:instrText xml:space="preserve">PAGE \* MERGEFORMAT</w:instrText>
    </w:r>
    <w:r>
      <w:rPr>
        <w:rFonts w:ascii="Times New Roman" w:hAnsi="Times New Roman" w:eastAsia="Times New Roman"/>
        <w:i/>
        <w:sz w:val="24"/>
      </w:rPr>
      <w:fldChar w:fldCharType="separate"/>
    </w:r>
    <w:r>
      <w:rPr>
        <w:rFonts w:ascii="Times New Roman" w:hAnsi="Times New Roman" w:eastAsia="Times New Roman"/>
        <w:i/>
        <w:sz w:val="24"/>
      </w:rPr>
      <w:t xml:space="preserve">1</w:t>
    </w:r>
    <w:r>
      <w:rPr>
        <w:rFonts w:ascii="Times New Roman" w:hAnsi="Times New Roman" w:eastAsia="Times New Roman"/>
        <w:i/>
        <w:sz w:val="24"/>
      </w:rPr>
      <w:fldChar w:fldCharType="end"/>
    </w:r>
    <w:r>
      <w:rPr>
        <w:rFonts w:ascii="Times New Roman" w:hAnsi="Times New Roman" w:eastAsia="Times New Roman"/>
        <w:i/>
        <w:sz w:val="24"/>
      </w:rPr>
      <w:t xml:space="preserve">                                     продовження додатка</w:t>
    </w:r>
    <w:r>
      <w:rPr>
        <w:rFonts w:ascii="Times New Roman" w:hAnsi="Times New Roman" w:eastAsia="Times New Roman"/>
        <w:i/>
        <w:sz w:val="24"/>
      </w:rPr>
    </w:r>
  </w:p>
  <w:p>
    <w:pPr>
      <w:pStyle w:val="78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1"/>
      </w:pPr>
      <w:rPr>
        <w:b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1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59" w:left="928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6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3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30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8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5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2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9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688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qFormat/>
    <w:pPr>
      <w:pBdr/>
      <w:spacing w:line="256" w:lineRule="auto"/>
      <w:ind/>
    </w:pPr>
    <w:rPr>
      <w:rFonts w:ascii="Calibri" w:hAnsi="Calibri" w:eastAsia="Calibri" w:cs="Times New Roman"/>
      <w:lang w:val="uk-UA"/>
    </w:rPr>
  </w:style>
  <w:style w:type="paragraph" w:styleId="731">
    <w:name w:val="Heading 1"/>
    <w:basedOn w:val="730"/>
    <w:next w:val="730"/>
    <w:link w:val="7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7">
    <w:name w:val="Heading 7"/>
    <w:basedOn w:val="730"/>
    <w:next w:val="730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8">
    <w:name w:val="Heading 8"/>
    <w:basedOn w:val="730"/>
    <w:next w:val="730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9">
    <w:name w:val="Heading 9"/>
    <w:basedOn w:val="730"/>
    <w:next w:val="730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character" w:styleId="743" w:customStyle="1">
    <w:name w:val="Heading 1 Char"/>
    <w:basedOn w:val="74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44" w:customStyle="1">
    <w:name w:val="Heading 2 Char"/>
    <w:basedOn w:val="74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45" w:customStyle="1">
    <w:name w:val="Heading 3 Char"/>
    <w:basedOn w:val="74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46" w:customStyle="1">
    <w:name w:val="Heading 4 Char"/>
    <w:basedOn w:val="74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47" w:customStyle="1">
    <w:name w:val="Heading 5 Char"/>
    <w:basedOn w:val="74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48" w:customStyle="1">
    <w:name w:val="Heading 6 Char"/>
    <w:basedOn w:val="7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9" w:customStyle="1">
    <w:name w:val="Heading 7 Char"/>
    <w:basedOn w:val="7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0" w:customStyle="1">
    <w:name w:val="Heading 8 Char"/>
    <w:basedOn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 w:customStyle="1">
    <w:name w:val="Heading 9 Char"/>
    <w:basedOn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2" w:customStyle="1">
    <w:name w:val="Title Char"/>
    <w:basedOn w:val="7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3" w:customStyle="1">
    <w:name w:val="Subtitle Char"/>
    <w:basedOn w:val="7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4" w:customStyle="1">
    <w:name w:val="Quote Char"/>
    <w:basedOn w:val="7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Intense Emphasis"/>
    <w:basedOn w:val="74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56" w:customStyle="1">
    <w:name w:val="Intense Quote Char"/>
    <w:basedOn w:val="74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57">
    <w:name w:val="Intense Reference"/>
    <w:basedOn w:val="74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58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760">
    <w:name w:val="Strong"/>
    <w:basedOn w:val="740"/>
    <w:uiPriority w:val="22"/>
    <w:qFormat/>
    <w:pPr>
      <w:pBdr/>
      <w:spacing/>
      <w:ind/>
    </w:pPr>
    <w:rPr>
      <w:b/>
      <w:bCs/>
    </w:rPr>
  </w:style>
  <w:style w:type="character" w:styleId="761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2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3" w:customStyle="1">
    <w:name w:val="Header Char"/>
    <w:basedOn w:val="740"/>
    <w:uiPriority w:val="99"/>
    <w:pPr>
      <w:pBdr/>
      <w:spacing/>
      <w:ind/>
    </w:pPr>
  </w:style>
  <w:style w:type="character" w:styleId="764" w:customStyle="1">
    <w:name w:val="Footnote Text Char"/>
    <w:basedOn w:val="740"/>
    <w:uiPriority w:val="99"/>
    <w:semiHidden/>
    <w:pPr>
      <w:pBdr/>
      <w:spacing/>
      <w:ind/>
    </w:pPr>
    <w:rPr>
      <w:sz w:val="20"/>
      <w:szCs w:val="20"/>
    </w:rPr>
  </w:style>
  <w:style w:type="character" w:styleId="765" w:customStyle="1">
    <w:name w:val="Endnote Text Char"/>
    <w:basedOn w:val="740"/>
    <w:uiPriority w:val="99"/>
    <w:semiHidden/>
    <w:pPr>
      <w:pBdr/>
      <w:spacing/>
      <w:ind/>
    </w:pPr>
    <w:rPr>
      <w:sz w:val="20"/>
      <w:szCs w:val="20"/>
    </w:rPr>
  </w:style>
  <w:style w:type="character" w:styleId="766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7" w:customStyle="1">
    <w:name w:val="Заголовок 1 Знак"/>
    <w:basedOn w:val="740"/>
    <w:link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40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40"/>
    <w:link w:val="73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40"/>
    <w:link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40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40"/>
    <w:link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40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40"/>
    <w:link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40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  <w:pPr>
      <w:pBdr/>
      <w:spacing w:after="0" w:line="240" w:lineRule="auto"/>
      <w:ind/>
    </w:pPr>
  </w:style>
  <w:style w:type="paragraph" w:styleId="777">
    <w:name w:val="Title"/>
    <w:basedOn w:val="730"/>
    <w:next w:val="730"/>
    <w:link w:val="7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8" w:customStyle="1">
    <w:name w:val="Назва Знак"/>
    <w:basedOn w:val="740"/>
    <w:link w:val="777"/>
    <w:uiPriority w:val="10"/>
    <w:pPr>
      <w:pBdr/>
      <w:spacing/>
      <w:ind/>
    </w:pPr>
    <w:rPr>
      <w:sz w:val="48"/>
      <w:szCs w:val="48"/>
    </w:rPr>
  </w:style>
  <w:style w:type="paragraph" w:styleId="779">
    <w:name w:val="Subtitle"/>
    <w:basedOn w:val="730"/>
    <w:next w:val="730"/>
    <w:link w:val="7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0" w:customStyle="1">
    <w:name w:val="Підзаголовок Знак"/>
    <w:basedOn w:val="740"/>
    <w:link w:val="779"/>
    <w:uiPriority w:val="11"/>
    <w:pPr>
      <w:pBdr/>
      <w:spacing/>
      <w:ind/>
    </w:pPr>
    <w:rPr>
      <w:sz w:val="24"/>
      <w:szCs w:val="24"/>
    </w:rPr>
  </w:style>
  <w:style w:type="paragraph" w:styleId="781">
    <w:name w:val="Quote"/>
    <w:basedOn w:val="730"/>
    <w:next w:val="730"/>
    <w:link w:val="782"/>
    <w:uiPriority w:val="29"/>
    <w:qFormat/>
    <w:pPr>
      <w:pBdr/>
      <w:spacing/>
      <w:ind w:right="720" w:left="720"/>
    </w:pPr>
    <w:rPr>
      <w:i/>
    </w:rPr>
  </w:style>
  <w:style w:type="character" w:styleId="782" w:customStyle="1">
    <w:name w:val="Цитата Знак"/>
    <w:link w:val="781"/>
    <w:uiPriority w:val="29"/>
    <w:pPr>
      <w:pBdr/>
      <w:spacing/>
      <w:ind/>
    </w:pPr>
    <w:rPr>
      <w:i/>
    </w:rPr>
  </w:style>
  <w:style w:type="paragraph" w:styleId="783">
    <w:name w:val="Intense Quote"/>
    <w:basedOn w:val="730"/>
    <w:next w:val="730"/>
    <w:link w:val="7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4" w:customStyle="1">
    <w:name w:val="Насичена цитата Знак"/>
    <w:link w:val="783"/>
    <w:uiPriority w:val="30"/>
    <w:pPr>
      <w:pBdr/>
      <w:spacing/>
      <w:ind/>
    </w:pPr>
    <w:rPr>
      <w:i/>
    </w:rPr>
  </w:style>
  <w:style w:type="paragraph" w:styleId="785">
    <w:name w:val="Header"/>
    <w:basedOn w:val="730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6" w:customStyle="1">
    <w:name w:val="Верхній колонтитул Знак"/>
    <w:basedOn w:val="740"/>
    <w:link w:val="785"/>
    <w:uiPriority w:val="99"/>
    <w:pPr>
      <w:pBdr/>
      <w:spacing/>
      <w:ind/>
    </w:pPr>
  </w:style>
  <w:style w:type="paragraph" w:styleId="787">
    <w:name w:val="Footer"/>
    <w:basedOn w:val="730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 w:customStyle="1">
    <w:name w:val="Footer Char"/>
    <w:basedOn w:val="740"/>
    <w:uiPriority w:val="99"/>
    <w:pPr>
      <w:pBdr/>
      <w:spacing/>
      <w:ind/>
    </w:pPr>
  </w:style>
  <w:style w:type="paragraph" w:styleId="789">
    <w:name w:val="Caption"/>
    <w:basedOn w:val="730"/>
    <w:next w:val="730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90" w:customStyle="1">
    <w:name w:val="Нижній колонтитул Знак"/>
    <w:link w:val="787"/>
    <w:uiPriority w:val="99"/>
    <w:pPr>
      <w:pBdr/>
      <w:spacing/>
      <w:ind/>
    </w:pPr>
  </w:style>
  <w:style w:type="table" w:styleId="791">
    <w:name w:val="Table Grid"/>
    <w:basedOn w:val="74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Table Grid Light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1"/>
    <w:basedOn w:val="74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2"/>
    <w:basedOn w:val="74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7">
    <w:name w:val="footnote text"/>
    <w:basedOn w:val="730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 w:customStyle="1">
    <w:name w:val="Текст ви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basedOn w:val="740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730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 w:customStyle="1">
    <w:name w:val="Текст кінцевої виноски Знак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730"/>
    <w:next w:val="730"/>
    <w:uiPriority w:val="39"/>
    <w:unhideWhenUsed/>
    <w:pPr>
      <w:pBdr/>
      <w:spacing w:after="57"/>
      <w:ind/>
    </w:pPr>
  </w:style>
  <w:style w:type="paragraph" w:styleId="924">
    <w:name w:val="toc 2"/>
    <w:basedOn w:val="730"/>
    <w:next w:val="730"/>
    <w:uiPriority w:val="39"/>
    <w:unhideWhenUsed/>
    <w:pPr>
      <w:pBdr/>
      <w:spacing w:after="57"/>
      <w:ind w:left="283"/>
    </w:pPr>
  </w:style>
  <w:style w:type="paragraph" w:styleId="925">
    <w:name w:val="toc 3"/>
    <w:basedOn w:val="730"/>
    <w:next w:val="730"/>
    <w:uiPriority w:val="39"/>
    <w:unhideWhenUsed/>
    <w:pPr>
      <w:pBdr/>
      <w:spacing w:after="57"/>
      <w:ind w:left="567"/>
    </w:pPr>
  </w:style>
  <w:style w:type="paragraph" w:styleId="926">
    <w:name w:val="toc 4"/>
    <w:basedOn w:val="730"/>
    <w:next w:val="730"/>
    <w:uiPriority w:val="39"/>
    <w:unhideWhenUsed/>
    <w:pPr>
      <w:pBdr/>
      <w:spacing w:after="57"/>
      <w:ind w:left="850"/>
    </w:pPr>
  </w:style>
  <w:style w:type="paragraph" w:styleId="927">
    <w:name w:val="toc 5"/>
    <w:basedOn w:val="730"/>
    <w:next w:val="730"/>
    <w:uiPriority w:val="39"/>
    <w:unhideWhenUsed/>
    <w:pPr>
      <w:pBdr/>
      <w:spacing w:after="57"/>
      <w:ind w:left="1134"/>
    </w:pPr>
  </w:style>
  <w:style w:type="paragraph" w:styleId="928">
    <w:name w:val="toc 6"/>
    <w:basedOn w:val="730"/>
    <w:next w:val="730"/>
    <w:uiPriority w:val="39"/>
    <w:unhideWhenUsed/>
    <w:pPr>
      <w:pBdr/>
      <w:spacing w:after="57"/>
      <w:ind w:left="1417"/>
    </w:pPr>
  </w:style>
  <w:style w:type="paragraph" w:styleId="929">
    <w:name w:val="toc 7"/>
    <w:basedOn w:val="730"/>
    <w:next w:val="730"/>
    <w:uiPriority w:val="39"/>
    <w:unhideWhenUsed/>
    <w:pPr>
      <w:pBdr/>
      <w:spacing w:after="57"/>
      <w:ind w:left="1701"/>
    </w:pPr>
  </w:style>
  <w:style w:type="paragraph" w:styleId="930">
    <w:name w:val="toc 8"/>
    <w:basedOn w:val="730"/>
    <w:next w:val="730"/>
    <w:uiPriority w:val="39"/>
    <w:unhideWhenUsed/>
    <w:pPr>
      <w:pBdr/>
      <w:spacing w:after="57"/>
      <w:ind w:left="1984"/>
    </w:pPr>
  </w:style>
  <w:style w:type="paragraph" w:styleId="931">
    <w:name w:val="toc 9"/>
    <w:basedOn w:val="730"/>
    <w:next w:val="730"/>
    <w:uiPriority w:val="39"/>
    <w:unhideWhenUsed/>
    <w:pPr>
      <w:pBdr/>
      <w:spacing w:after="57"/>
      <w:ind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730"/>
    <w:next w:val="730"/>
    <w:uiPriority w:val="99"/>
    <w:unhideWhenUsed/>
    <w:pPr>
      <w:pBdr/>
      <w:spacing w:after="0"/>
      <w:ind/>
    </w:pPr>
  </w:style>
  <w:style w:type="character" w:styleId="934">
    <w:name w:val="Hyperlink"/>
    <w:uiPriority w:val="99"/>
    <w:semiHidden/>
    <w:unhideWhenUsed/>
    <w:pPr>
      <w:pBdr/>
      <w:spacing/>
      <w:ind/>
    </w:pPr>
    <w:rPr>
      <w:color w:val="0563c1" w:themeColor="hyperlink"/>
      <w:u w:val="single"/>
    </w:rPr>
  </w:style>
  <w:style w:type="paragraph" w:styleId="935">
    <w:name w:val="HTML Preformatted"/>
    <w:basedOn w:val="730"/>
    <w:link w:val="936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36" w:customStyle="1">
    <w:name w:val="Стандартний HTML Знак"/>
    <w:basedOn w:val="740"/>
    <w:link w:val="935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37">
    <w:name w:val="List Paragraph"/>
    <w:basedOn w:val="730"/>
    <w:uiPriority w:val="34"/>
    <w:qFormat/>
    <w:pPr>
      <w:pBdr/>
      <w:spacing/>
      <w:ind w:left="720"/>
      <w:contextualSpacing w:val="true"/>
    </w:pPr>
  </w:style>
  <w:style w:type="paragraph" w:styleId="938" w:customStyle="1">
    <w:name w:val="rvps2"/>
    <w:basedOn w:val="73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939" w:customStyle="1">
    <w:name w:val="1332"/>
    <w:basedOn w:val="740"/>
    <w:pPr>
      <w:pBdr/>
      <w:spacing/>
      <w:ind/>
    </w:pPr>
  </w:style>
  <w:style w:type="character" w:styleId="940" w:customStyle="1">
    <w:name w:val="4247"/>
    <w:basedOn w:val="74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zakon.rada.gov.ua/laws/show/1768-14" TargetMode="External"/><Relationship Id="rId15" Type="http://schemas.openxmlformats.org/officeDocument/2006/relationships/hyperlink" Target="https://zakon.rada.gov.ua/laws/show/796-12" TargetMode="External"/><Relationship Id="rId16" Type="http://schemas.openxmlformats.org/officeDocument/2006/relationships/hyperlink" Target="https://zakon.rada.gov.ua/laws/show/3551-12" TargetMode="External"/><Relationship Id="rId17" Type="http://schemas.openxmlformats.org/officeDocument/2006/relationships/hyperlink" Target="https://zakon.rada.gov.ua/laws/show/1768-14" TargetMode="External"/><Relationship Id="rId18" Type="http://schemas.openxmlformats.org/officeDocument/2006/relationships/hyperlink" Target="https://zakon.rada.gov.ua/laws/show/796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7</cp:revision>
  <dcterms:created xsi:type="dcterms:W3CDTF">2024-12-09T08:06:00Z</dcterms:created>
  <dcterms:modified xsi:type="dcterms:W3CDTF">2024-12-20T17:00:15Z</dcterms:modified>
</cp:coreProperties>
</file>