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6663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eastAsia="Batang"/>
          <w:color w:val="000000" w:themeColor="text1"/>
          <w:sz w:val="24"/>
          <w:szCs w:val="24"/>
          <w:lang w:eastAsia="ru-RU"/>
        </w:rPr>
        <w:t xml:space="preserve">Д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одаток</w:t>
      </w:r>
      <w:r>
        <w:rPr>
          <w:rFonts w:ascii="Times New Roman" w:hAnsi="Times New Roman"/>
          <w:bCs/>
          <w:iCs/>
          <w:sz w:val="24"/>
          <w:szCs w:val="24"/>
        </w:rPr>
      </w:r>
    </w:p>
    <w:p>
      <w:pPr>
        <w:pBdr/>
        <w:spacing w:after="0" w:line="240" w:lineRule="auto"/>
        <w:ind w:left="6663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до рішення 5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6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сесії  8 скликання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</w:r>
    </w:p>
    <w:p>
      <w:pPr>
        <w:pBdr/>
        <w:spacing w:after="0" w:line="240" w:lineRule="auto"/>
        <w:ind w:left="6663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Менської міської ради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</w:r>
    </w:p>
    <w:p>
      <w:pPr>
        <w:pBdr/>
        <w:spacing w:after="0" w:line="240" w:lineRule="auto"/>
        <w:ind w:left="6663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1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9 грудня 202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4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р. №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707</w:t>
      </w:r>
      <w:bookmarkStart w:id="0" w:name="_GoBack"/>
      <w:r/>
      <w:bookmarkEnd w:id="0"/>
      <w:r/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pBdr/>
        <w:spacing w:after="0" w:line="240" w:lineRule="auto"/>
        <w:ind w:left="5954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left="5954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left="5954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left="5954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left="5954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left="5954"/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>
        <w:rPr>
          <w:rFonts w:ascii="Times New Roman" w:hAnsi="Times New Roman" w:eastAsia="Batang"/>
          <w:sz w:val="52"/>
          <w:szCs w:val="20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  <w:t xml:space="preserve">ПРОГРАМ</w:t>
      </w: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  <w:t xml:space="preserve">А</w:t>
      </w: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  <w:t xml:space="preserve">організації харчування дітей у закладах </w:t>
      </w: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  <w:t xml:space="preserve">загальної середньої освіти </w:t>
      </w: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  <w:t xml:space="preserve">Менської міської ради </w:t>
      </w: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  <w:t xml:space="preserve">на 2025-2027 роки</w:t>
      </w:r>
      <w:r>
        <w:rPr>
          <w:rFonts w:ascii="Times New Roman" w:hAnsi="Times New Roman" w:eastAsia="Batang"/>
          <w:b/>
          <w:color w:val="000000"/>
          <w:sz w:val="36"/>
          <w:szCs w:val="36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 w:eastAsia="Batang"/>
          <w:b/>
          <w:sz w:val="28"/>
          <w:szCs w:val="20"/>
          <w:lang w:eastAsia="ru-RU"/>
        </w:rPr>
      </w:pPr>
      <w:r>
        <w:rPr>
          <w:rFonts w:ascii="Times New Roman" w:hAnsi="Times New Roman" w:eastAsia="Batang"/>
          <w:b/>
          <w:sz w:val="28"/>
          <w:szCs w:val="20"/>
          <w:lang w:eastAsia="ru-RU"/>
        </w:rPr>
      </w:r>
      <w:r>
        <w:rPr>
          <w:rFonts w:ascii="Times New Roman" w:hAnsi="Times New Roman" w:eastAsia="Batang"/>
          <w:b/>
          <w:sz w:val="28"/>
          <w:szCs w:val="20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м.Мена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2024 р.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08"/>
        <w:numPr>
          <w:ilvl w:val="0"/>
          <w:numId w:val="11"/>
        </w:numPr>
        <w:pBdr/>
        <w:spacing w:after="0" w:line="240" w:lineRule="auto"/>
        <w:ind w:right="-141"/>
        <w:jc w:val="center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Паспорт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Програми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</w:r>
    </w:p>
    <w:p>
      <w:pPr>
        <w:pStyle w:val="908"/>
        <w:pBdr/>
        <w:spacing w:after="0" w:line="240" w:lineRule="auto"/>
        <w:ind w:right="-141"/>
        <w:rPr>
          <w:rFonts w:ascii="Times New Roman" w:hAnsi="Times New Roman" w:eastAsia="Batang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Batang"/>
          <w:b/>
          <w:color w:val="000000"/>
          <w:sz w:val="28"/>
          <w:szCs w:val="28"/>
          <w:lang w:eastAsia="ru-RU"/>
        </w:rPr>
      </w:r>
    </w:p>
    <w:tbl>
      <w:tblPr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1842"/>
        <w:gridCol w:w="1843"/>
        <w:gridCol w:w="1829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Програма організації харчування у закладах загальної середньої освіти Менської міської ради на 2025-2027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Ініціатор розроблення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81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Підстави для розробки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Style w:val="909"/>
              <w:pBdr/>
              <w:shd w:val="clear" w:color="auto" w:fill="ffffff"/>
              <w:spacing w:after="0" w:afterAutospacing="0" w:before="0" w:beforeAutospacing="0"/>
              <w:ind/>
              <w:rPr>
                <w:rFonts w:eastAsia="Batang"/>
                <w:sz w:val="28"/>
                <w:szCs w:val="28"/>
                <w:lang w:eastAsia="ru-RU"/>
              </w:rPr>
            </w:pPr>
            <w:r>
              <w:rPr>
                <w:rFonts w:eastAsia="Batang"/>
                <w:sz w:val="28"/>
                <w:szCs w:val="28"/>
                <w:lang w:eastAsia="ru-RU"/>
              </w:rPr>
              <w:t xml:space="preserve">Закони України «Про освіту», «Про повну загальну середню освіту», «Про охорону дитинства», </w:t>
            </w:r>
            <w:r>
              <w:rPr>
                <w:sz w:val="28"/>
                <w:szCs w:val="28"/>
                <w:lang w:eastAsia="ru-RU"/>
              </w:rPr>
              <w:t xml:space="preserve">«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Про державну соціальну допомогу малозабезпеченим сім’ям»,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rFonts w:eastAsia="Batang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color w:val="000000" w:themeColor="text1"/>
                <w:sz w:val="28"/>
                <w:szCs w:val="28"/>
              </w:rPr>
              <w:t xml:space="preserve">Про статус і соціальний захист громадян, які постраждали внаслідок Чорнобильської катастрофи</w:t>
            </w:r>
            <w:r>
              <w:rPr>
                <w:rFonts w:eastAsia="Batang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eastAsia="Batang"/>
                <w:color w:val="000000" w:themeColor="text1"/>
                <w:sz w:val="28"/>
                <w:szCs w:val="28"/>
                <w:lang w:eastAsia="ru-RU"/>
              </w:rPr>
              <w:t xml:space="preserve">«</w:t>
            </w:r>
            <w:r>
              <w:rPr>
                <w:color w:val="000000" w:themeColor="text1"/>
                <w:sz w:val="28"/>
                <w:szCs w:val="28"/>
              </w:rPr>
              <w:t xml:space="preserve">Про статус ветеранів війни, гарантії їх соціального захисту</w:t>
            </w:r>
            <w:r>
              <w:rPr>
                <w:rFonts w:eastAsia="Batang"/>
                <w:color w:val="000000" w:themeColor="text1"/>
                <w:sz w:val="28"/>
                <w:szCs w:val="28"/>
                <w:lang w:eastAsia="ru-RU"/>
              </w:rPr>
              <w:t xml:space="preserve">»</w:t>
            </w:r>
            <w:r>
              <w:rPr>
                <w:color w:val="000000" w:themeColor="text1"/>
                <w:sz w:val="28"/>
                <w:szCs w:val="28"/>
              </w:rPr>
              <w:t xml:space="preserve">,</w:t>
            </w:r>
            <w:r>
              <w:rPr>
                <w:rFonts w:eastAsia="Batang"/>
                <w:color w:val="7b7b7b" w:themeColor="accent3" w:themeShade="B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«Про внесення змін до деяких Законів України щодо забезпечення безкоштовним харчуванням дітей внутрішньо переміщених осіб» від 16.01.2020 №474-І</w:t>
            </w:r>
            <w:r>
              <w:rPr>
                <w:rFonts w:eastAsia="Batang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,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</w:t>
            </w:r>
            <w:r>
              <w:rPr>
                <w:rFonts w:eastAsia="Batang"/>
                <w:sz w:val="28"/>
                <w:szCs w:val="28"/>
                <w:lang w:val="en-US" w:eastAsia="ru-RU"/>
              </w:rPr>
              <w:t xml:space="preserve">X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, «Про оздоровлення та відпочинок дітей», «Про охорону дитинства», «Про забезпечення санітарного та епідемічного благополуччя населення»,  «Про місцеве самоврядування в </w:t>
            </w:r>
            <w:r>
              <w:rPr>
                <w:rFonts w:eastAsia="Batang"/>
                <w:color w:val="000000" w:themeColor="text1"/>
                <w:sz w:val="28"/>
                <w:szCs w:val="28"/>
                <w:lang w:eastAsia="ru-RU"/>
              </w:rPr>
              <w:t xml:space="preserve">Україні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eastAsia="Batang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eastAsia="Batang"/>
                <w:color w:val="7b7b7b" w:themeColor="accent3" w:themeShade="BF"/>
                <w:sz w:val="28"/>
                <w:szCs w:val="28"/>
                <w:shd w:val="clear" w:color="auto" w:fill="ffffff"/>
                <w:lang w:eastAsia="ru-RU"/>
              </w:rPr>
              <w:t xml:space="preserve"> п</w:t>
            </w:r>
            <w:r>
              <w:rPr>
                <w:rFonts w:eastAsia="Batang"/>
                <w:color w:val="000000" w:themeColor="text1"/>
                <w:sz w:val="28"/>
                <w:szCs w:val="28"/>
                <w:lang w:eastAsia="ru-RU"/>
              </w:rPr>
              <w:t xml:space="preserve">останови Кабінету Міністрів України від 02.02.2011 №116 «Про затвердження Порядку надання послуг з харчування дітей у дошкільних, учнів у загальноосвітніх та </w:t>
            </w:r>
            <w:r>
              <w:rPr>
                <w:rFonts w:eastAsia="Batang"/>
                <w:color w:val="000000" w:themeColor="text1"/>
                <w:sz w:val="28"/>
                <w:szCs w:val="28"/>
                <w:lang w:eastAsia="ru-RU"/>
              </w:rPr>
              <w:t xml:space="preserve">професійно</w:t>
            </w:r>
            <w:r>
              <w:rPr>
                <w:rFonts w:eastAsia="Batang"/>
                <w:color w:val="000000" w:themeColor="text1"/>
                <w:sz w:val="28"/>
                <w:szCs w:val="28"/>
                <w:lang w:eastAsia="ru-RU"/>
              </w:rPr>
              <w:t xml:space="preserve"> – технічних навчальних закладах, операції з надання яких звільняються від обкладення податком на додану вартість», від </w:t>
            </w:r>
            <w:r>
              <w:rPr>
                <w:sz w:val="28"/>
                <w:szCs w:val="28"/>
              </w:rPr>
              <w:t xml:space="preserve"> 24.03.2021  №305 «Про затвердження норм та Порядку організації харчування у закладах освіти та дитячих закладах оздоровлення та відпочинку» (зі змінами)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, від 18.01.2016  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их звільняються від обкладення податком на додану вартість», від 04,.10. 2024  №1145 «Деякі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</w:t>
            </w:r>
            <w:r>
              <w:rPr>
                <w:rFonts w:eastAsia="Calibri"/>
                <w:bCs/>
                <w:iCs/>
                <w:sz w:val="28"/>
                <w:szCs w:val="28"/>
              </w:rPr>
              <w:t xml:space="preserve">»</w:t>
            </w:r>
            <w:r>
              <w:rPr>
                <w:rFonts w:eastAsia="Batang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Розробник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Відповідальний виконавець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2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Учасники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освіти Менської міської ради, заклади загальної середньої освіти, фінансове управління Менської міської ради, Комунальна установа «Центр з обслуговування освітніх установ та закладів освіти»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8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Дія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Дія Програми поширюється на територію населених пунктів, які увійшли до складу Менської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Строк реалізації Програми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2025-2027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 Менської міської територіальної громади, інші джерела фінансування, не заборонені законодавством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37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Обсяги фінансування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1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Обсяг коштів визначається рішенням сесії міської ради на відповідний рік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Загальний орієнтовний обсяг фінансових ресурсів, необхідних для реалізації Програми на 2025-2027 роки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2025 рік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(грн)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 рік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(грн)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 рік (грн)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jc w:val="center"/>
          <w:trHeight w:val="16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Загальний орієнтовний обсяг фінансових ресурсів, необхідних для реалізації Програми, всього: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тому числі: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14 672 725,00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14 739 735,00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15 318 045,00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6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кошти бюджету Менської міської ТГ, інші джерела, не заборонені законодавством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14 272 725,00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14 289 735,00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14 818 045,00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jc w:val="center"/>
          <w:trHeight w:val="25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 w:left="-25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8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кошти спеціального фонду (плата за послуги, що надаються бюджетними установами згідно з їх основною діяльністю, спонсорські кошти, надходження благодійних внесків від батьків в натуральній формі, інші джерела коштів, не заборонених законодавством)*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400 000,00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450 000,00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14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500 000,00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pStyle w:val="908"/>
        <w:pBdr/>
        <w:spacing w:after="0" w:line="240" w:lineRule="auto"/>
        <w:ind w:right="-141" w:left="0"/>
        <w:rPr>
          <w:rFonts w:ascii="Times New Roman" w:hAnsi="Times New Roman" w:eastAsia="Batang"/>
          <w:sz w:val="20"/>
          <w:szCs w:val="20"/>
          <w:lang w:eastAsia="ru-RU"/>
        </w:rPr>
      </w:pPr>
      <w:r>
        <w:rPr>
          <w:rFonts w:ascii="Times New Roman" w:hAnsi="Times New Roman" w:eastAsia="Batang"/>
          <w:sz w:val="20"/>
          <w:szCs w:val="20"/>
          <w:lang w:eastAsia="ru-RU"/>
        </w:rPr>
        <w:t xml:space="preserve">*Вартість 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дітодня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 в 2025 році становить – 45,00 грн в день на одну дитину, в  2026 році – 50,00 грн, в 2027 році – 55,00 грн.</w:t>
      </w:r>
      <w:r>
        <w:rPr>
          <w:rFonts w:ascii="Times New Roman" w:hAnsi="Times New Roman" w:eastAsia="Batang"/>
          <w:sz w:val="20"/>
          <w:szCs w:val="20"/>
          <w:lang w:eastAsia="ru-RU"/>
        </w:rPr>
      </w:r>
    </w:p>
    <w:p>
      <w:pPr>
        <w:pBdr/>
        <w:spacing w:after="0" w:line="240" w:lineRule="auto"/>
        <w:ind w:right="-14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-14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Визначення проблеми, на розв'язання якої спрямована Програма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Arial" w:hAnsi="Arial" w:eastAsia="Times New Roman" w:cs="Arial"/>
          <w:sz w:val="21"/>
          <w:szCs w:val="21"/>
          <w:lang w:eastAsia="uk-UA"/>
        </w:rPr>
      </w:pPr>
      <w:r>
        <w:rPr>
          <w:rFonts w:ascii="Arial" w:hAnsi="Arial" w:eastAsia="Times New Roman" w:cs="Arial"/>
          <w:sz w:val="21"/>
          <w:szCs w:val="21"/>
          <w:lang w:eastAsia="uk-UA"/>
        </w:rPr>
      </w:r>
      <w:r>
        <w:rPr>
          <w:rFonts w:ascii="Arial" w:hAnsi="Arial" w:eastAsia="Times New Roman" w:cs="Arial"/>
          <w:sz w:val="21"/>
          <w:szCs w:val="21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Одним із основних факторів впливу на здоров’я дітей є повноцінне і раціональне харчування.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Станом на 01.11.2024 на території Менської територіальної громади функціонують 11 закладів загальної середньої освіти та одна філія, в яких виховується 2248 дітей.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Постановою Кабінету Міністрів України від 24.03.2021  № 305 «Про затвердження норм та Порядку організації харчування у закладах освіти та дитячих закладах оздоровлення та відпочинку» (зі змінами) суттєво змінено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принципи планування та механізм організації харчування здобувачів освіти/дітей у закладах загальної середньої освіти,</w:t>
      </w:r>
      <w:r>
        <w:rPr>
          <w:color w:val="000000" w:themeColor="text1"/>
          <w:shd w:val="clear" w:color="auto" w:fill="ffffff"/>
        </w:rPr>
        <w:t xml:space="preserve"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передбачено забезпечення більш збалансованого харчування, що вплинуло на формування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примірного чотиритижневого сезонного меню - документ, щ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 містить набір страв, вихід (масу) їх порцій для різних вікових груп, враховує особливі дієтичні потреби здобувачів освіти/дітей (у разі наявності), сезонність (осінь, зима, весна, літо) та потребує збільшення грошових норм харчування на 1 дитину в день.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 xml:space="preserve">Безоплатним гарячим харчуванням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відповідно до встановленого в закладі освіти режиму (кратності) харчування, забезпечуються учні закладу загальної середньої освіти</w:t>
      </w:r>
      <w:r>
        <w:rPr>
          <w:color w:val="000000" w:themeColor="text1"/>
          <w:sz w:val="28"/>
          <w:szCs w:val="28"/>
        </w:rPr>
        <w:t xml:space="preserve"> з числа: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дітей-сиріт;</w:t>
      </w:r>
      <w:r>
        <w:rPr>
          <w:color w:val="000000" w:themeColor="text1"/>
          <w:sz w:val="28"/>
          <w:szCs w:val="28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дітей, позбавлених батьківського піклування;</w:t>
      </w:r>
      <w:r>
        <w:rPr>
          <w:color w:val="000000" w:themeColor="text1"/>
          <w:sz w:val="28"/>
          <w:szCs w:val="28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дітей з особливими освітніми потребами, які навчаються у спеціальних та інклюзивних класах (групах);</w:t>
      </w:r>
      <w:r>
        <w:rPr>
          <w:color w:val="000000" w:themeColor="text1"/>
          <w:sz w:val="28"/>
          <w:szCs w:val="28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дітей із сімей, які отримують допомогу відповідно до </w:t>
      </w:r>
      <w:hyperlink r:id="rId12" w:tooltip="https://zakon.rada.gov.ua/laws/show/1768-14" w:history="1">
        <w:r>
          <w:rPr>
            <w:rStyle w:val="905"/>
            <w:rFonts w:eastAsia="Arial"/>
            <w:color w:val="000000" w:themeColor="text1"/>
            <w:sz w:val="28"/>
            <w:szCs w:val="28"/>
          </w:rPr>
          <w:t xml:space="preserve">Закону України</w:t>
        </w:r>
      </w:hyperlink>
      <w:r>
        <w:rPr>
          <w:color w:val="000000" w:themeColor="text1"/>
          <w:sz w:val="28"/>
          <w:szCs w:val="28"/>
        </w:rPr>
        <w:t xml:space="preserve"> «Про державну соціальну допомогу малозабезпеченим сім’ям»;</w:t>
      </w:r>
      <w:r>
        <w:rPr>
          <w:color w:val="000000" w:themeColor="text1"/>
          <w:sz w:val="28"/>
          <w:szCs w:val="28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учнів закладів освіти, розташованих на територіях радіоактивного забруднення, а</w:t>
      </w:r>
      <w:r>
        <w:rPr>
          <w:color w:val="000000" w:themeColor="text1"/>
          <w:sz w:val="28"/>
          <w:szCs w:val="28"/>
        </w:rPr>
        <w:t xml:space="preserve">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3" w:tooltip="https://zakon.rada.gov.ua/laws/show/796-12" w:history="1">
        <w:r>
          <w:rPr>
            <w:rStyle w:val="905"/>
            <w:rFonts w:eastAsia="Arial"/>
            <w:color w:val="000000" w:themeColor="text1"/>
            <w:sz w:val="28"/>
            <w:szCs w:val="28"/>
            <w:u w:val="none"/>
          </w:rPr>
          <w:t xml:space="preserve">Закону України</w:t>
        </w:r>
      </w:hyperlink>
      <w:r>
        <w:rPr>
          <w:color w:val="000000" w:themeColor="text1"/>
          <w:sz w:val="28"/>
          <w:szCs w:val="28"/>
        </w:rPr>
        <w:t xml:space="preserve"> «Про статус і соціальний захист громадян, які постраждали внаслідок Чорнобильської катастрофи»;</w:t>
      </w:r>
      <w:r>
        <w:rPr>
          <w:color w:val="000000" w:themeColor="text1"/>
          <w:sz w:val="28"/>
          <w:szCs w:val="28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</w:r>
      <w:r>
        <w:rPr>
          <w:color w:val="000000" w:themeColor="text1"/>
          <w:sz w:val="28"/>
          <w:szCs w:val="28"/>
        </w:rPr>
      </w:r>
    </w:p>
    <w:p>
      <w:pPr>
        <w:pStyle w:val="909"/>
        <w:pBdr/>
        <w:shd w:val="clear" w:color="auto" w:fill="ffffff"/>
        <w:spacing w:after="0" w:afterAutospacing="0" w:before="0" w:before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дітей з числа осіб,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загиблих (померлих) ветеранів війни (зниклих безвісти) - (</w:t>
      </w:r>
      <w:hyperlink r:id="rId14" w:tooltip="https://zakon.rada.gov.ua/laws/show/3551-12#n147" w:anchor="n147" w:history="1">
        <w:r>
          <w:rPr>
            <w:rStyle w:val="905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стаття 10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 xml:space="preserve">) та загиблих (померлих) Захисників і Захисниць України (</w:t>
      </w:r>
      <w:hyperlink r:id="rId15" w:tooltip="https://zakon.rada.gov.ua/laws/show/3551-12#n656" w:anchor="n656" w:history="1">
        <w:r>
          <w:rPr>
            <w:rStyle w:val="905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стаття 10</w:t>
        </w:r>
      </w:hyperlink>
      <w:r/>
      <w:hyperlink r:id="rId16" w:tooltip="https://zakon.rada.gov.ua/laws/show/3551-12#n656" w:anchor="n656" w:history="1">
        <w:r>
          <w:rPr>
            <w:rStyle w:val="905"/>
            <w:b/>
            <w:bCs/>
            <w:color w:val="000000" w:themeColor="text1"/>
            <w:sz w:val="28"/>
            <w:szCs w:val="28"/>
            <w:u w:val="none"/>
            <w:shd w:val="clear" w:color="auto" w:fill="ffffff"/>
            <w:vertAlign w:val="superscript"/>
          </w:rPr>
          <w:t xml:space="preserve">-1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 xml:space="preserve">) </w:t>
      </w:r>
      <w:r>
        <w:rPr>
          <w:color w:val="000000" w:themeColor="text1"/>
          <w:sz w:val="28"/>
          <w:szCs w:val="28"/>
        </w:rPr>
        <w:t xml:space="preserve"> відповідно до Закону України «Про статус ветеранів війни, гарантії їх соціального захисту»;</w:t>
      </w:r>
      <w:r>
        <w:rPr>
          <w:color w:val="000000" w:themeColor="text1"/>
          <w:sz w:val="28"/>
          <w:szCs w:val="28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дітей осіб, які мають статус «учасник бойових дій»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/>
          <w:bCs/>
          <w:iCs/>
          <w:sz w:val="28"/>
          <w:szCs w:val="28"/>
          <w:lang w:eastAsia="uk-UA"/>
        </w:rPr>
      </w:pPr>
      <w:r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дітей військовослужбовців Збройних Сил України, інших військових формувань; співробітників Національної поліції, залучених до виконання завдань в зоні бойових дій (на період дії воєнного стану в Україні);</w:t>
      </w:r>
      <w:r>
        <w:rPr>
          <w:rFonts w:ascii="Times New Roman" w:hAnsi="Times New Roman"/>
          <w:bCs/>
          <w:iCs/>
          <w:sz w:val="28"/>
          <w:szCs w:val="28"/>
          <w:lang w:eastAsia="uk-UA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/>
          <w:bCs/>
          <w:iCs/>
          <w:sz w:val="28"/>
          <w:szCs w:val="28"/>
          <w:lang w:eastAsia="uk-UA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дітей  </w:t>
      </w:r>
      <w:r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осіб, які належать до осіб з інвалідністю внаслідок війни;</w:t>
      </w:r>
      <w:r>
        <w:rPr>
          <w:rFonts w:ascii="Times New Roman" w:hAnsi="Times New Roman"/>
          <w:bCs/>
          <w:iCs/>
          <w:sz w:val="28"/>
          <w:szCs w:val="28"/>
          <w:lang w:eastAsia="uk-UA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дітей з інвалідністю;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у виняткових випадках (в разі, якщо сім’я опинилась в складних життєвих обставинах або батьки неспромо</w:t>
      </w:r>
      <w:r>
        <w:rPr>
          <w:rFonts w:ascii="Times New Roman" w:hAnsi="Times New Roman"/>
          <w:sz w:val="28"/>
          <w:szCs w:val="28"/>
          <w:lang w:eastAsia="uk-UA"/>
        </w:rPr>
        <w:t xml:space="preserve">жні з поважних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ради)).</w:t>
      </w:r>
      <w:r>
        <w:rPr>
          <w:rFonts w:ascii="Times New Roman" w:hAnsi="Times New Roman"/>
          <w:lang w:eastAsia="uk-UA"/>
        </w:rPr>
      </w:r>
    </w:p>
    <w:p>
      <w:pPr>
        <w:pBdr/>
        <w:tabs>
          <w:tab w:val="left" w:leader="none" w:pos="426"/>
          <w:tab w:val="left" w:leader="none" w:pos="851"/>
        </w:tabs>
        <w:spacing w:after="0" w:line="240" w:lineRule="auto"/>
        <w:ind w:right="-141" w:firstLine="567"/>
        <w:jc w:val="both"/>
        <w:rPr>
          <w:rStyle w:val="910"/>
          <w:rFonts w:ascii="Times New Roman" w:hAnsi="Times New Roman"/>
          <w:sz w:val="28"/>
          <w:szCs w:val="28"/>
        </w:rPr>
      </w:pPr>
      <w:r>
        <w:rPr>
          <w:rStyle w:val="910"/>
          <w:rFonts w:ascii="Times New Roman" w:hAnsi="Times New Roman"/>
          <w:sz w:val="28"/>
          <w:szCs w:val="28"/>
        </w:rPr>
        <w:t xml:space="preserve">Гарячим харчуванням, з </w:t>
      </w:r>
      <w:r>
        <w:rPr>
          <w:rStyle w:val="910"/>
          <w:rFonts w:ascii="Times New Roman" w:hAnsi="Times New Roman"/>
          <w:b/>
          <w:sz w:val="28"/>
          <w:szCs w:val="28"/>
        </w:rPr>
        <w:t xml:space="preserve">оплатою в розмірі 50% від вартості харчування</w:t>
      </w:r>
      <w:r>
        <w:rPr>
          <w:rStyle w:val="910"/>
          <w:rFonts w:ascii="Times New Roman" w:hAnsi="Times New Roman"/>
          <w:sz w:val="28"/>
          <w:szCs w:val="28"/>
        </w:rPr>
        <w:t xml:space="preserve">, забезпечуються діти з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сімей, в яких троє і більше дітей до 18 років .</w:t>
      </w:r>
      <w:r>
        <w:rPr>
          <w:rStyle w:val="910"/>
          <w:rFonts w:ascii="Times New Roman" w:hAnsi="Times New Roman"/>
          <w:sz w:val="28"/>
          <w:szCs w:val="28"/>
        </w:rPr>
        <w:t xml:space="preserve"> </w:t>
      </w:r>
      <w:r>
        <w:rPr>
          <w:rStyle w:val="910"/>
          <w:rFonts w:ascii="Times New Roman" w:hAnsi="Times New Roman"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Не менш важливим фактором впли</w:t>
      </w:r>
      <w:r>
        <w:rPr>
          <w:sz w:val="28"/>
          <w:szCs w:val="28"/>
        </w:rPr>
        <w:t xml:space="preserve">ву на здоров'я дітей є відпочинкова кампанія у пришкільних таборах відпочинку при закладах загальної середньої освіти.  Так, в червні 2024 року протягом 14 робочих днів діяли  11 пришкільних таборів відпочинку. Було забезпечено відпочинковими послугами 497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здобувачів освіти. Вартість харчування у пришкільних таборах відпочинку становила 55.00 грн на день на одного учня. Всі кошти спрямовувалися на організацію харчування дітей.</w:t>
      </w:r>
      <w:r>
        <w:rPr>
          <w:rFonts w:eastAsia="Calibri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eastAsia="Times New Roman"/>
          <w:color w:val="212529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3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. Аналіз причин   виникнення    проблеми    та    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обгрунтування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br/>
        <w:t xml:space="preserve">необхідності її розв'язання програмним методом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/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початку навчального 2024-2025 року в 11 закладах загальної середньої освіти та 1-й філії навчається 2248 дітей. Станом на 01 жовтня 2024 року гарячим </w:t>
      </w:r>
      <w:r>
        <w:rPr>
          <w:rFonts w:ascii="Times New Roman" w:hAnsi="Times New Roman"/>
          <w:sz w:val="28"/>
          <w:szCs w:val="28"/>
        </w:rPr>
        <w:t xml:space="preserve">харчуванням охоплено 1900 дітей, безоплатним гарячим харчуванням – 1738 дітей, розмір плати зменшено на 50 відсотків для батьків, у сім’ях яких троє і більше дітей до 18 років включно – 97 дітей, за кошти батьків харчується 65 дітей.</w:t>
      </w:r>
      <w:r>
        <w:rPr>
          <w:rFonts w:ascii="Times New Roman" w:hAnsi="Times New Roman"/>
          <w:sz w:val="28"/>
          <w:szCs w:val="28"/>
        </w:rPr>
      </w:r>
    </w:p>
    <w:p>
      <w:pPr>
        <w:pStyle w:val="908"/>
        <w:suppressLineNumbers w:val="false"/>
        <w:pBdr/>
        <w:spacing w:after="0" w:line="240" w:lineRule="auto"/>
        <w:ind w:right="0" w:firstLine="567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Вартість харчування на одну дитину в день, з урахув</w:t>
      </w:r>
      <w:r>
        <w:rPr>
          <w:rFonts w:ascii="Times New Roman" w:hAnsi="Times New Roman"/>
          <w:sz w:val="28"/>
          <w:szCs w:val="28"/>
        </w:rPr>
        <w:t xml:space="preserve">анням вимог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Постанови Кабінету Міністрів України від 24.03.2021  №305 «Про затвердження норм та Порядку організації харчування у закладах освіти та дитячих закладах оздоровлення та відпочинку» (зі змінами), в 2025-2027 роках планується  встановити на рівні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eastAsia="Batang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в 2025 році – 45 грн в день на одну дитину, 2026 році – 50 грн, 2027 році – 55 грн.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 зв’язку з переведенням з 01 січня 2022 року закладів загальної середньої освіти на умови самостійного ведення господар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ської діяльності та бухгалтерського обліку, Відділ освіти, Комунальна установа «Центр з обслуговування освітніх установ та закладів освіти» забезпечуватимуть координацію процесу організації харчування та контроль за використанням коштів, спрямованих на орг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анізацію харчування учнів в цілому, а також на організацію безоплатного та пільгового гарячого харчування дітей шкільного віку, які навчаються в закладах загальної середньої освіти Менської територіальної громади, категорії яких визначені даною Програмою.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Контроль за харчовими нормами, якістю продукції, яка надходить до харчоблоків, організація харчування в ЗЗСО здійснюється керівництвом відповідного закладу в рамках системи управління безпечністю харчових продуктів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НАССР.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 Комунальна установа «Центр з обслуговування освітніх установ та закладів освіти» спільно з адміністрацією закладу освіти буде  забезпеч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увати закупівлю і контроль за постачанням продуктів харчування та продовольчої сировини гарантованої якості, ведення бухгалтерського обліку продуктів харчування та продовольчої сировини, аналітичний облік батьківської плати за харчування в закладах освіти.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Заклади освіти  забезпечують замовлення необхідної кількості продуктів харчува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ння та продовольчої сировини, їх приймання, складання меню-розкладу, виготовлення страв, подання дітям готових страв, ведення обліку дітей, які отримують харчування, контроль за харчуванням, інформування  батьків про організацію харчування дітей в закладі.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Необхідне створення належних умов для оздоровлення та повноцінного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відпочинку дітей в пришкільних таборах Менської   територіальної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громади; збільшення кількості дітей громади, охоплених організованими формами відпочинку та оздоровлення; надання послуг з відпочинку дітям, які потребують особливої соціальної уваги та підтримки; формування та пропаганда здорового і безпечного харчування.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Розробка Програми зумовлена необхідністю створення та забезпечення умов для організації повноцінного та якісного харчування здобувачів освіти закладів загальної середньої освіти Менської ТГ, а також забезпечення пільгових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умов оплати за харчування учнів шкіл категорій, які потребують соціальної підтримки.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/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left="72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4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. Мета Програми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left="721"/>
        <w:jc w:val="center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right="-141" w:firstLine="708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Основна мета Програми – створення умов для збереження здоров’я дітей, підвищення рівня організації харчування, забезпечення учнів закладів загальної середньої освіти якісним харчуванням, впровадження нових технологій приготування їжі.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досконалення системи організації харчування у закладах загальної середньої освіти Менської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територільної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громади, удосконалення упр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авління системою організації харчування, оптимізація витрат на її функціонування. Забезпечення гарячим безоплатним та пільговим харчуванням учнів, які відвідують заклади загальної середньої освіти Менської громади, категорії яких визначені даною Програмою.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Також, м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етою Програми є створення сприятливих умов та реалізація права на якісне оздоровлення і відпочинок дітей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у пришкільних таборах відпочинку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. Досягнення поставленої мети здійснюватиметься шляхом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відпочинкової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організаційно-координаційної та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освітньо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-виховної діяльності. Реалізація заходів з оздоровлення та відпочинку дітей відповідає пріоритетним напрямкам розвитку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громади: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належних умов для оздоровлення та повноцінного відпочинку дітей в пришкільних таборах Менської   територіальної громади;</w:t>
      </w:r>
      <w:r>
        <w:rPr>
          <w:sz w:val="28"/>
          <w:szCs w:val="28"/>
        </w:rPr>
      </w:r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збільшення кількості дітей громади, охоплених організованими формами відпочинку та оздоровлення;</w:t>
      </w:r>
      <w:r>
        <w:rPr>
          <w:sz w:val="28"/>
          <w:szCs w:val="28"/>
        </w:rPr>
      </w:r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умов для зміцнення фізичного та психічного здоров’я дітей шляхом належної організації відпочинку в пришкільних таборах;</w:t>
      </w:r>
      <w:r>
        <w:rPr>
          <w:sz w:val="28"/>
          <w:szCs w:val="28"/>
        </w:rPr>
      </w:r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послуг з відпочинку дітям, які потребують особливої соціальної уваги та підтримки;</w:t>
      </w:r>
      <w:r>
        <w:rPr>
          <w:sz w:val="28"/>
          <w:szCs w:val="28"/>
        </w:rPr>
      </w:r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/>
      </w:pPr>
      <w:r>
        <w:rPr>
          <w:sz w:val="28"/>
          <w:szCs w:val="28"/>
        </w:rPr>
        <w:t xml:space="preserve">формування та пропаганда здорового і безпечного способу життя.</w:t>
      </w:r>
      <w:r/>
    </w:p>
    <w:p>
      <w:pPr>
        <w:pStyle w:val="917"/>
        <w:pBdr/>
        <w:shd w:val="clear" w:color="auto" w:fill="ffffff"/>
        <w:spacing w:after="0" w:afterAutospacing="0" w:before="0" w:beforeAutospacing="0"/>
        <w:ind w:left="567"/>
        <w:jc w:val="both"/>
        <w:rPr/>
      </w:pPr>
      <w:r/>
      <w:r/>
    </w:p>
    <w:p>
      <w:pPr>
        <w:pStyle w:val="917"/>
        <w:pBdr/>
        <w:shd w:val="clear" w:color="auto" w:fill="ffffff"/>
        <w:spacing w:after="0" w:afterAutospacing="0" w:before="0" w:beforeAutospacing="0"/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Завдання Програми</w:t>
      </w:r>
      <w:r>
        <w:rPr>
          <w:b/>
          <w:bCs/>
          <w:sz w:val="28"/>
          <w:szCs w:val="28"/>
        </w:rPr>
      </w:r>
    </w:p>
    <w:p>
      <w:pPr>
        <w:pStyle w:val="917"/>
        <w:pBdr/>
        <w:shd w:val="clear" w:color="auto" w:fill="ffffff"/>
        <w:spacing w:after="0" w:afterAutospacing="0" w:before="0" w:beforeAutospacing="0"/>
        <w:ind w:left="567"/>
        <w:jc w:val="center"/>
        <w:rPr/>
      </w:pPr>
      <w:r/>
      <w:r/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абезпеч</w:t>
      </w:r>
      <w:r>
        <w:rPr>
          <w:sz w:val="28"/>
          <w:szCs w:val="28"/>
        </w:rPr>
        <w:t xml:space="preserve">ити</w:t>
      </w:r>
      <w:r>
        <w:rPr>
          <w:sz w:val="28"/>
          <w:szCs w:val="28"/>
        </w:rPr>
        <w:t xml:space="preserve"> повноцінн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і раціональн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харчування дітей шкільного віку. </w:t>
      </w:r>
      <w:r>
        <w:rPr>
          <w:sz w:val="28"/>
          <w:szCs w:val="28"/>
        </w:rPr>
      </w:r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</w:t>
      </w:r>
      <w:r>
        <w:rPr>
          <w:sz w:val="28"/>
          <w:szCs w:val="28"/>
        </w:rPr>
        <w:t xml:space="preserve">ити</w:t>
      </w:r>
      <w:r>
        <w:rPr>
          <w:sz w:val="28"/>
          <w:szCs w:val="28"/>
        </w:rPr>
        <w:t xml:space="preserve"> гарячим безоплатним та пільговим харчуванням дітей шкільного віку, які відвідують заклади загальної середньої освіти Менської ТГ, категорії яких визначені даною Програмою. </w:t>
      </w:r>
      <w:r>
        <w:rPr>
          <w:sz w:val="28"/>
          <w:szCs w:val="28"/>
        </w:rPr>
      </w:r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</w:t>
      </w:r>
      <w:r>
        <w:rPr>
          <w:sz w:val="28"/>
          <w:szCs w:val="28"/>
        </w:rPr>
        <w:t xml:space="preserve">ти</w:t>
      </w:r>
      <w:r>
        <w:rPr>
          <w:sz w:val="28"/>
          <w:szCs w:val="28"/>
        </w:rPr>
        <w:t xml:space="preserve"> навич</w:t>
      </w:r>
      <w:r>
        <w:rPr>
          <w:sz w:val="28"/>
          <w:szCs w:val="28"/>
        </w:rPr>
        <w:t xml:space="preserve">ки</w:t>
      </w:r>
      <w:r>
        <w:rPr>
          <w:sz w:val="28"/>
          <w:szCs w:val="28"/>
        </w:rPr>
        <w:t xml:space="preserve"> правильного та здорового харчування. </w:t>
      </w:r>
      <w:r>
        <w:rPr>
          <w:sz w:val="28"/>
          <w:szCs w:val="28"/>
        </w:rPr>
      </w:r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Надавати збалансоване харчування відповідно до віку і стану здоров’я дітей, урізноманітнювати раціон харчування.  </w:t>
      </w:r>
      <w:r>
        <w:rPr>
          <w:sz w:val="28"/>
          <w:szCs w:val="28"/>
        </w:rPr>
      </w:r>
    </w:p>
    <w:p>
      <w:pPr>
        <w:pStyle w:val="917"/>
        <w:numPr>
          <w:ilvl w:val="0"/>
          <w:numId w:val="10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раціональне та ефективне використання бюджетних коштів.</w:t>
      </w:r>
      <w:r>
        <w:rPr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Cs/>
          <w:sz w:val="28"/>
          <w:szCs w:val="28"/>
          <w:lang w:eastAsia="uk-UA"/>
        </w:rPr>
        <w:t xml:space="preserve">Доцільність створення даної Програми обумовлена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турботою про збереження та поліпшення стану здоров’я дітей; необхідністю створення умов для організації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повноцінного і якісног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 харчування як важливої складової для розвитку дитячого організму; необхідністю вдосконалення системи організації харчування у закладах загальної середньої освіти Менської ТГ, яка забезпечить раціональне, ефективне і прозоре використання бюджетних коштів.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6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Шляхи і  способи  розв'язання   проблеми,   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строк   виконання Програми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eastAsia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Програми здійснюється за такими напрямами: 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оновлення технологічного обладнання, матеріально-технічної бази харчоблоків шкільних </w:t>
      </w:r>
      <w:r>
        <w:rPr>
          <w:sz w:val="28"/>
          <w:szCs w:val="28"/>
          <w:lang w:val="uk-UA"/>
        </w:rPr>
        <w:t xml:space="preserve">їдалень</w:t>
      </w:r>
      <w:r>
        <w:rPr>
          <w:sz w:val="28"/>
          <w:szCs w:val="28"/>
          <w:lang w:val="uk-UA"/>
        </w:rPr>
        <w:t xml:space="preserve"> закладів загальної середньої освіти відповідно до сучасних вимог та з урахуванням чинного законодавства;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навчання працівників, пов’язаних із забезпеченням шкільного харчування з питань гігієни персоналу, гігієнічних вимог до виробництва та обігу харчових продуктів, у тому числі з питань системи НАССР і програм-передумов;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реконструкцій, капітальних ремонтів </w:t>
      </w:r>
      <w:r>
        <w:rPr>
          <w:sz w:val="28"/>
          <w:szCs w:val="28"/>
          <w:lang w:val="uk-UA"/>
        </w:rPr>
        <w:t xml:space="preserve">їдалень</w:t>
      </w:r>
      <w:r>
        <w:rPr>
          <w:sz w:val="28"/>
          <w:szCs w:val="28"/>
          <w:lang w:val="uk-UA"/>
        </w:rPr>
        <w:t xml:space="preserve"> та харчоблоків закладів загальної середньої освіти;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харчування за технологічною моделлю</w:t>
      </w:r>
      <w:r>
        <w:rPr>
          <w:sz w:val="28"/>
          <w:szCs w:val="28"/>
          <w:lang w:val="uk-UA" w:eastAsia="ru-RU" w:bidi="ru-RU"/>
        </w:rPr>
        <w:t xml:space="preserve"> </w:t>
      </w:r>
      <w:r>
        <w:rPr>
          <w:sz w:val="28"/>
          <w:szCs w:val="28"/>
          <w:lang w:val="uk-UA"/>
        </w:rPr>
        <w:t xml:space="preserve">«базова кухня»;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впровадження системи аналізу небезпечних факторів та контролю в критичних точках (НАССР);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запровадження нового шкільного харчування, альтернативних форм харчування, нових рецептур, що пройшли державну санітарно-епідеміологічну експертизу щодо можливості використання при харчуванні дітей у закладах загальної середньої освіти;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5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кваліфікації кухарів за оновленими програмами;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навчання працівників закладів загальної середньої освіти, залучених до підвищення кваліфікації вчителів (</w:t>
      </w:r>
      <w:r>
        <w:rPr>
          <w:sz w:val="28"/>
          <w:szCs w:val="28"/>
          <w:lang w:val="uk-UA"/>
        </w:rPr>
        <w:t xml:space="preserve">здоров’язбережувальна</w:t>
      </w:r>
      <w:r>
        <w:rPr>
          <w:sz w:val="28"/>
          <w:szCs w:val="28"/>
          <w:lang w:val="uk-UA"/>
        </w:rPr>
        <w:t xml:space="preserve"> галузь), керівників закладів загальної середньої освіти з питань організації харчування та формування навичок здорового харчування в закладах загальної середньої освіти;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виконання норм харчування учнів відповідно до вимог чинного законодавства;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рівня обізнаності працівників щодо формування тендерної документації, у том</w:t>
      </w:r>
      <w:r>
        <w:rPr>
          <w:sz w:val="28"/>
          <w:szCs w:val="28"/>
          <w:lang w:val="uk-UA"/>
        </w:rPr>
        <w:t xml:space="preserve">у числі належне формування вимог до продуктів у частині інформації про технічні, якісні та кількісні характеристики предмета закупівлі, оформлення договорів із зазначенням процедури контролю постачальників та їх відповідальності за порушення умов договору;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передбачення фінансування на проведення лабораторних досліджень у разі виникнення спірних питань із постачальником харчових продуктів;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збільшення кількості учнів, охоплених гарячим харчуванням;</w:t>
      </w:r>
      <w:r>
        <w:rPr>
          <w:sz w:val="28"/>
          <w:szCs w:val="28"/>
          <w:lang w:val="uk-UA"/>
        </w:rPr>
      </w:r>
    </w:p>
    <w:p>
      <w:pPr>
        <w:pStyle w:val="915"/>
        <w:pBdr/>
        <w:shd w:val="clear" w:color="auto" w:fill="auto"/>
        <w:spacing w:line="240" w:lineRule="auto"/>
        <w:ind w:firstLine="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в закладах загальної середньої освіти просвітницької роботи з учнями та батьками щодо формування культури здорового харчування.</w:t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Прийняття цієї Програми д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озволяє поступово вирішувати проблеми у сфері оздоровлення та літнього відпочинку дітей. Програма передбачає протягом 2025-2027 років здійснення комплексу заходів щодо створення умов для належної організації оздоровлення і літнього відпочинку дітей шляхом: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17"/>
        <w:numPr>
          <w:ilvl w:val="0"/>
          <w:numId w:val="9"/>
        </w:numPr>
        <w:pBdr/>
        <w:shd w:val="clear" w:color="auto" w:fill="ffffff"/>
        <w:spacing w:after="0" w:afterAutospacing="0" w:before="0" w:beforeAutospacing="0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організації та проведення семінарів для директорів, інших відповідальних осіб, які забезпечують роботу пришкільних таборів;</w:t>
      </w:r>
      <w:r>
        <w:rPr>
          <w:sz w:val="28"/>
          <w:szCs w:val="28"/>
        </w:rPr>
      </w:r>
    </w:p>
    <w:p>
      <w:pPr>
        <w:pStyle w:val="915"/>
        <w:pBdr/>
        <w:shd w:val="clear" w:color="auto" w:fill="auto"/>
        <w:spacing w:line="240" w:lineRule="auto"/>
        <w:ind w:firstLine="5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забезпечення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дітей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покращеним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харчуванням</w:t>
      </w:r>
      <w:r>
        <w:rPr>
          <w:sz w:val="28"/>
          <w:szCs w:val="28"/>
          <w:lang w:val="ru-RU"/>
        </w:rPr>
        <w:t xml:space="preserve"> у </w:t>
      </w:r>
      <w:r>
        <w:rPr>
          <w:sz w:val="28"/>
          <w:szCs w:val="28"/>
          <w:lang w:val="ru-RU"/>
        </w:rPr>
        <w:t xml:space="preserve">пришкільних</w:t>
      </w:r>
      <w:r>
        <w:rPr>
          <w:sz w:val="28"/>
          <w:szCs w:val="28"/>
          <w:lang w:val="ru-RU"/>
        </w:rPr>
        <w:t xml:space="preserve"> таборах </w:t>
      </w:r>
      <w:r>
        <w:rPr>
          <w:sz w:val="28"/>
          <w:szCs w:val="28"/>
          <w:lang w:val="ru-RU"/>
        </w:rPr>
        <w:t xml:space="preserve">відпочинку</w:t>
      </w:r>
      <w:r>
        <w:rPr>
          <w:sz w:val="28"/>
          <w:szCs w:val="28"/>
          <w:lang w:val="ru-RU"/>
        </w:rPr>
        <w:t xml:space="preserve"> при закладах </w:t>
      </w:r>
      <w:r>
        <w:rPr>
          <w:sz w:val="28"/>
          <w:szCs w:val="28"/>
          <w:lang w:val="ru-RU"/>
        </w:rPr>
        <w:t xml:space="preserve">загальної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середньої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освіти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915"/>
        <w:pBdr/>
        <w:shd w:val="clear" w:color="auto" w:fill="auto"/>
        <w:spacing w:line="240" w:lineRule="auto"/>
        <w:ind w:firstLine="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реалізації Програми необхідною умовою є організація я</w:t>
      </w:r>
      <w:r>
        <w:rPr>
          <w:sz w:val="28"/>
          <w:szCs w:val="28"/>
          <w:lang w:val="uk-UA"/>
        </w:rPr>
        <w:t xml:space="preserve">кісного та безпечного харчування, закупівля та фінансування, відновлення та модернізація харчоблоків. Дотримання вимог системи НАССР; розвиток кадрового потенціалу; упровадження нових норм харчування, меню, а також формування культури здорового харчування.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08"/>
        <w:pBdr/>
        <w:shd w:val="clear" w:color="auto" w:fill="ffffff"/>
        <w:spacing w:after="0" w:line="240" w:lineRule="auto"/>
        <w:ind w:left="0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6.1. Основні заходи Програми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</w:p>
    <w:p>
      <w:pPr>
        <w:pStyle w:val="908"/>
        <w:pBdr/>
        <w:shd w:val="clear" w:color="auto" w:fill="ffffff"/>
        <w:spacing w:after="0" w:line="240" w:lineRule="auto"/>
        <w:ind w:left="0"/>
        <w:jc w:val="center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tbl>
      <w:tblPr>
        <w:tblStyle w:val="916"/>
        <w:tblW w:w="9918" w:type="dxa"/>
        <w:jc w:val="center"/>
        <w:tblBorders/>
        <w:tblLook w:val="04A0" w:firstRow="1" w:lastRow="0" w:firstColumn="1" w:lastColumn="0" w:noHBand="0" w:noVBand="1"/>
      </w:tblPr>
      <w:tblGrid>
        <w:gridCol w:w="636"/>
        <w:gridCol w:w="5029"/>
        <w:gridCol w:w="2268"/>
        <w:gridCol w:w="1985"/>
      </w:tblGrid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№ з/п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Заходи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Виконавці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Термін виконання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gridSpan w:val="4"/>
            <w:tcBorders/>
            <w:tcW w:w="99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lang w:eastAsia="uk-UA"/>
              </w:rPr>
              <w:t xml:space="preserve">1. Організаційне забезпечення</w:t>
            </w:r>
            <w:r>
              <w:rPr>
                <w:rFonts w:ascii="Times New Roman" w:hAnsi="Times New Roman" w:eastAsia="Times New Roman"/>
                <w:i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1.1.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Удосконалення системи контролю за якістю харчування в закладах загальної середньої освіти Менської територіальної громади, удосконалення системи </w:t>
            </w:r>
            <w:r>
              <w:rPr>
                <w:sz w:val="28"/>
                <w:szCs w:val="28"/>
                <w:shd w:val="clear" w:color="auto" w:fill="ffffff"/>
              </w:rPr>
              <w:t xml:space="preserve">(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НАССР)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Відділ освіти, 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Постійно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1.2.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Систематичне оновлення інформаційних куточків для  батьків щодо харчування дітей.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Постійно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1.3.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Оновлення бази даних дітей пільгових категорій, які потребують безоплатного або пільгового харчування.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Вересень, щорічно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1.4.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Організація та проведення нарад, семінарів з питань формування здорового способу життя.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Відповідно до плану роботи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1.5.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Проведення публічних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закупівель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 продуктів харчування.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За потребою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1.6.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Забезпечення фінансування наданих виплат.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КУ «ЦООУЗО»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Постійно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gridSpan w:val="4"/>
            <w:tcBorders/>
            <w:tcW w:w="99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lang w:eastAsia="uk-UA"/>
              </w:rPr>
              <w:t xml:space="preserve">2.            Організація харчування в  закладах загальної середньої освіти</w:t>
            </w: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lang w:eastAsia="uk-UA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lang w:eastAsia="uk-UA"/>
              </w:rPr>
              <w:t xml:space="preserve">Менської територіальної громади</w:t>
            </w:r>
            <w:r>
              <w:rPr>
                <w:rFonts w:ascii="Times New Roman" w:hAnsi="Times New Roman" w:eastAsia="Times New Roman"/>
                <w:b/>
                <w:bCs/>
                <w:i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2.1.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Style w:val="909"/>
              <w:pBdr/>
              <w:shd w:val="clear" w:color="auto" w:fill="ffffff"/>
              <w:spacing w:after="0" w:afterAutospacing="0" w:before="0" w:beforeAutospacing="0"/>
              <w:ind/>
              <w:jc w:val="both"/>
              <w:rPr/>
            </w:pPr>
            <w:r>
              <w:rPr>
                <w:b/>
                <w:sz w:val="28"/>
                <w:szCs w:val="28"/>
              </w:rPr>
              <w:t xml:space="preserve">Забезпечення  безоплатним гарячим харчуванням </w:t>
            </w:r>
            <w:r>
              <w:rPr>
                <w:sz w:val="28"/>
                <w:szCs w:val="28"/>
                <w:shd w:val="clear" w:color="auto" w:fill="ffffff"/>
              </w:rPr>
              <w:t xml:space="preserve">за рахунок коштів місцевого бюджету, відповідно до встановленого в закладі освіти режиму (кратності) харчування, для учнів закладу загальної середньої освіти </w:t>
            </w:r>
            <w:r>
              <w:rPr>
                <w:sz w:val="28"/>
                <w:szCs w:val="28"/>
              </w:rPr>
              <w:t xml:space="preserve">з числа:</w:t>
            </w:r>
            <w:r>
              <w:t xml:space="preserve"> </w:t>
            </w:r>
            <w:r/>
          </w:p>
          <w:p>
            <w:pPr>
              <w:pStyle w:val="909"/>
              <w:pBdr/>
              <w:shd w:val="clear" w:color="auto" w:fill="ffffff"/>
              <w:spacing w:after="0" w:afterAutospacing="0" w:before="0" w:beforeAutospacing="0"/>
              <w:ind w:firstLine="567"/>
              <w:jc w:val="both"/>
              <w:rPr>
                <w:sz w:val="28"/>
                <w:szCs w:val="28"/>
              </w:rPr>
            </w:pPr>
            <w:r/>
            <w:bookmarkStart w:id="1" w:name="n165"/>
            <w:r/>
            <w:bookmarkEnd w:id="1"/>
            <w:r>
              <w:rPr>
                <w:sz w:val="28"/>
                <w:szCs w:val="28"/>
              </w:rPr>
              <w:t xml:space="preserve">дітей-сиріт;</w:t>
            </w:r>
            <w:r>
              <w:rPr>
                <w:sz w:val="28"/>
                <w:szCs w:val="28"/>
              </w:rPr>
            </w:r>
          </w:p>
          <w:p>
            <w:pPr>
              <w:pStyle w:val="909"/>
              <w:pBdr/>
              <w:shd w:val="clear" w:color="auto" w:fill="ffffff"/>
              <w:spacing w:after="0" w:afterAutospacing="0" w:before="0" w:before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дітей, позбавлених батьківського піклування;</w:t>
            </w:r>
            <w:r>
              <w:rPr>
                <w:sz w:val="28"/>
                <w:szCs w:val="28"/>
              </w:rPr>
            </w:r>
          </w:p>
          <w:p>
            <w:pPr>
              <w:pStyle w:val="909"/>
              <w:pBdr/>
              <w:shd w:val="clear" w:color="auto" w:fill="ffffff"/>
              <w:spacing w:after="0" w:afterAutospacing="0" w:before="0" w:before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дітей з особливими освітніми потребами, які навчаються у спеціальних та інклюзивних класах (групах);</w:t>
            </w:r>
            <w:r>
              <w:rPr>
                <w:sz w:val="28"/>
                <w:szCs w:val="28"/>
              </w:rPr>
            </w:r>
          </w:p>
          <w:p>
            <w:pPr>
              <w:pStyle w:val="909"/>
              <w:pBdr/>
              <w:shd w:val="clear" w:color="auto" w:fill="ffffff"/>
              <w:spacing w:after="0" w:afterAutospacing="0" w:before="0" w:before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дітей із сімей, які отримують допомогу відповідно до </w:t>
            </w:r>
            <w:hyperlink r:id="rId17" w:tooltip="https://zakon.rada.gov.ua/laws/show/1768-14" w:history="1">
              <w:r>
                <w:rPr>
                  <w:rStyle w:val="905"/>
                  <w:rFonts w:eastAsia="Arial"/>
                  <w:color w:val="auto"/>
                  <w:sz w:val="28"/>
                  <w:szCs w:val="28"/>
                  <w:u w:val="none"/>
                </w:rPr>
                <w:t xml:space="preserve">Закону України</w:t>
              </w:r>
            </w:hyperlink>
            <w:r>
              <w:rPr>
                <w:sz w:val="28"/>
                <w:szCs w:val="28"/>
              </w:rPr>
              <w:t xml:space="preserve"> «Про державну соціальну допомогу малозабезпеченим сім’ям»;</w:t>
            </w:r>
            <w:r>
              <w:rPr>
                <w:sz w:val="28"/>
                <w:szCs w:val="28"/>
              </w:rPr>
            </w:r>
          </w:p>
          <w:p>
            <w:pPr>
              <w:pStyle w:val="909"/>
              <w:pBdr/>
              <w:shd w:val="clear" w:color="auto" w:fill="ffffff"/>
              <w:spacing w:after="0" w:afterAutospacing="0" w:before="0" w:before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учнів закладів освіти, розташованих на територіях радіоактивного забруднення, а</w:t>
            </w:r>
            <w:r>
              <w:rPr>
                <w:sz w:val="28"/>
                <w:szCs w:val="28"/>
              </w:rPr>
              <w:t xml:space="preserve">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      </w:r>
            <w:hyperlink r:id="rId18" w:tooltip="https://zakon.rada.gov.ua/laws/show/796-12" w:history="1">
              <w:r>
                <w:rPr>
                  <w:rStyle w:val="905"/>
                  <w:rFonts w:eastAsia="Arial"/>
                  <w:color w:val="auto"/>
                  <w:sz w:val="28"/>
                  <w:szCs w:val="28"/>
                  <w:u w:val="none"/>
                </w:rPr>
                <w:t xml:space="preserve">Закону України</w:t>
              </w:r>
            </w:hyperlink>
            <w:r>
              <w:rPr>
                <w:sz w:val="28"/>
                <w:szCs w:val="28"/>
              </w:rPr>
              <w:t xml:space="preserve"> «Про статус і соціальний захист громадян, які постраждали внаслідок Чорнобильської катастрофи»;</w:t>
            </w:r>
            <w:r>
              <w:rPr>
                <w:sz w:val="28"/>
                <w:szCs w:val="28"/>
              </w:rPr>
            </w:r>
          </w:p>
          <w:p>
            <w:pPr>
              <w:pStyle w:val="909"/>
              <w:pBdr/>
              <w:shd w:val="clear" w:color="auto" w:fill="ffffff"/>
              <w:spacing w:after="0" w:afterAutospacing="0" w:before="0" w:before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дітей з числа внутрішньо переміщених осіб, діти, які мають статус дитини, яка постраждала внаслідок воєнних дій і збройних конфліктів;</w:t>
            </w:r>
            <w:r>
              <w:rPr>
                <w:sz w:val="28"/>
                <w:szCs w:val="28"/>
              </w:rPr>
            </w:r>
          </w:p>
          <w:p>
            <w:pPr>
              <w:pStyle w:val="909"/>
              <w:pBdr/>
              <w:shd w:val="clear" w:color="auto" w:fill="ffffff"/>
              <w:spacing w:after="0" w:afterAutospacing="0" w:before="0" w:before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дітей з числа осіб, </w:t>
            </w:r>
            <w:r>
              <w:rPr>
                <w:sz w:val="28"/>
                <w:szCs w:val="28"/>
                <w:shd w:val="clear" w:color="auto" w:fill="ffffff"/>
              </w:rPr>
              <w:t xml:space="preserve">загиблих (померлих) ветеранів війни (</w:t>
            </w:r>
            <w:hyperlink r:id="rId19" w:tooltip="https://zakon.rada.gov.ua/laws/show/3551-12#n147" w:anchor="n147" w:history="1">
              <w:r>
                <w:rPr>
                  <w:rStyle w:val="905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стаття 10</w:t>
              </w:r>
            </w:hyperlink>
            <w:r>
              <w:rPr>
                <w:sz w:val="28"/>
                <w:szCs w:val="28"/>
                <w:shd w:val="clear" w:color="auto" w:fill="ffffff"/>
              </w:rPr>
              <w:t xml:space="preserve">) та загиблих (померлих) Захисників і Захисниць України (</w:t>
            </w:r>
            <w:hyperlink r:id="rId20" w:tooltip="https://zakon.rada.gov.ua/laws/show/3551-12#n656" w:anchor="n656" w:history="1">
              <w:r>
                <w:rPr>
                  <w:rStyle w:val="905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стаття10</w:t>
              </w:r>
            </w:hyperlink>
            <w:r/>
            <w:hyperlink r:id="rId21" w:tooltip="https://zakon.rada.gov.ua/laws/show/3551-12#n656" w:anchor="n656" w:history="1">
              <w:r>
                <w:rPr>
                  <w:rStyle w:val="905"/>
                  <w:b/>
                  <w:bCs/>
                  <w:color w:val="auto"/>
                  <w:sz w:val="28"/>
                  <w:szCs w:val="28"/>
                  <w:u w:val="none"/>
                  <w:shd w:val="clear" w:color="auto" w:fill="ffffff"/>
                  <w:vertAlign w:val="superscript"/>
                </w:rPr>
                <w:t xml:space="preserve">1</w:t>
              </w:r>
            </w:hyperlink>
            <w:r>
              <w:rPr>
                <w:sz w:val="28"/>
                <w:szCs w:val="28"/>
                <w:shd w:val="clear" w:color="auto" w:fill="ffffff"/>
              </w:rPr>
              <w:t xml:space="preserve">) </w:t>
            </w:r>
            <w:r>
              <w:rPr>
                <w:sz w:val="28"/>
                <w:szCs w:val="28"/>
              </w:rPr>
              <w:t xml:space="preserve"> відповідно до Закону </w:t>
            </w:r>
            <w:r>
              <w:rPr>
                <w:sz w:val="28"/>
                <w:szCs w:val="28"/>
              </w:rPr>
              <w:t xml:space="preserve">України «Про статус ветеранів війни, гарантії їх соціального захисту»;</w:t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pBdr/>
              <w:tabs>
                <w:tab w:val="left" w:leader="none" w:pos="425"/>
              </w:tabs>
              <w:spacing w:line="240" w:lineRule="auto"/>
              <w:ind w:firstLine="567" w:left="0"/>
              <w:jc w:val="both"/>
              <w:rPr>
                <w:rFonts w:ascii="Times New Roman" w:hAnsi="Times New Roman" w:eastAsia="Batang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дітей осіб, які мають статус «учасник бойових дій»</w:t>
            </w: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;</w:t>
            </w: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</w:r>
          </w:p>
          <w:p>
            <w:pPr>
              <w:pStyle w:val="908"/>
              <w:pBdr/>
              <w:tabs>
                <w:tab w:val="left" w:leader="none" w:pos="425"/>
              </w:tabs>
              <w:spacing w:line="240" w:lineRule="auto"/>
              <w:ind w:firstLine="567" w:left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  <w:t xml:space="preserve">дітей військовослужбовців Збройних Сил України, інших військових формувань; співробітників Національної поліції, залучених до виконання завдань в зоні бойових дій (на період дії воєнного стану в Україні);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</w:r>
          </w:p>
          <w:p>
            <w:pPr>
              <w:pStyle w:val="908"/>
              <w:pBdr/>
              <w:tabs>
                <w:tab w:val="left" w:leader="none" w:pos="425"/>
              </w:tabs>
              <w:spacing w:line="240" w:lineRule="auto"/>
              <w:ind w:firstLine="567" w:left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дітей 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  <w:t xml:space="preserve">осіб, які належать до осіб з інвалідністю внаслідок війни;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</w:r>
          </w:p>
          <w:p>
            <w:pPr>
              <w:pStyle w:val="908"/>
              <w:pBdr/>
              <w:tabs>
                <w:tab w:val="left" w:leader="none" w:pos="425"/>
              </w:tabs>
              <w:spacing w:line="240" w:lineRule="auto"/>
              <w:ind w:firstLine="567" w:left="0"/>
              <w:jc w:val="both"/>
              <w:rPr>
                <w:rFonts w:ascii="Times New Roman" w:hAnsi="Times New Roman" w:eastAsia="Batang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дітей з інвалідністю;</w:t>
            </w: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</w:r>
          </w:p>
          <w:p>
            <w:pPr>
              <w:pStyle w:val="908"/>
              <w:pBdr/>
              <w:tabs>
                <w:tab w:val="left" w:leader="none" w:pos="425"/>
              </w:tabs>
              <w:spacing w:line="240" w:lineRule="auto"/>
              <w:ind w:firstLine="567" w:left="0"/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у виняткових випадках (в разі, якщо сім’я опинилась в складних життєвих обставинах або батьки неспромо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жні з поважних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ради)).</w:t>
            </w:r>
            <w:r>
              <w:rPr>
                <w:rFonts w:ascii="Times New Roman" w:hAnsi="Times New Roman"/>
                <w:lang w:eastAsia="uk-UA"/>
              </w:rPr>
            </w:r>
          </w:p>
          <w:p>
            <w:pPr>
              <w:pBdr/>
              <w:tabs>
                <w:tab w:val="left" w:leader="none" w:pos="426"/>
                <w:tab w:val="left" w:leader="none" w:pos="851"/>
              </w:tabs>
              <w:spacing w:line="240" w:lineRule="auto"/>
              <w:ind w:firstLine="567"/>
              <w:jc w:val="both"/>
              <w:rPr>
                <w:rStyle w:val="910"/>
              </w:rPr>
            </w:pPr>
            <w:r>
              <w:rPr>
                <w:rStyle w:val="910"/>
                <w:rFonts w:ascii="Times New Roman" w:hAnsi="Times New Roman"/>
                <w:sz w:val="28"/>
                <w:szCs w:val="28"/>
              </w:rPr>
              <w:t xml:space="preserve">Гарячим харчуванням, з </w:t>
            </w:r>
            <w:r>
              <w:rPr>
                <w:rStyle w:val="910"/>
                <w:rFonts w:ascii="Times New Roman" w:hAnsi="Times New Roman"/>
                <w:b/>
                <w:sz w:val="28"/>
                <w:szCs w:val="28"/>
              </w:rPr>
              <w:t xml:space="preserve">оплатою в розмірі 50% від вартості харчування</w:t>
            </w:r>
            <w:r>
              <w:rPr>
                <w:rStyle w:val="910"/>
                <w:rFonts w:ascii="Times New Roman" w:hAnsi="Times New Roman"/>
                <w:sz w:val="28"/>
                <w:szCs w:val="28"/>
              </w:rPr>
              <w:t xml:space="preserve">, забезпечуються діти з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 сімей в яких троє і більше дітей до 18 років.</w:t>
            </w:r>
            <w:r>
              <w:rPr>
                <w:rStyle w:val="910"/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Style w:val="910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Times New Roman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Відділ освіти,</w:t>
            </w:r>
            <w:r>
              <w:rPr>
                <w:rFonts w:eastAsia="Times New Roman"/>
                <w:lang w:eastAsia="uk-UA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Протягом навчального року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2.2.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Дотримання санітарно-гігієнічних норм щодо організації харчування, оптимального режиму роботи харчоблоків.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Постійно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2.3.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Проведення перевірок щодо організації харчування в закладах загальної середньої освіти.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Відділ освіти, 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Згідно плану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2.4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Розподіл коштів на організацію              безоплатного та пільгового гарячого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харчування здобувачів освіти, облік 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звітність за використання коштів, які                                                                                                  виділяються на безоплатне та пільгове харчування в ЗЗСО 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Відділ освіти, КУ «ЦООУЗО» Менської міської ради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Протягом навчального року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2.5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Забезпечення безоплатним одноразовим гарячим харчуванням учнів1-4 класів закладів загальної середньої освіти громади, у яких процес навчання організовано за очною формою або з поєднанням очної і дистанційної форми, за рахунок субвенції з державного бюджету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Відділ освіти, КУ «ЦООУЗО» Менської міської ради, 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Протягом навчального року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  <w:trHeight w:val="703"/>
        </w:trPr>
        <w:tc>
          <w:tcPr>
            <w:gridSpan w:val="4"/>
            <w:tcBorders/>
            <w:tcW w:w="99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8"/>
                <w:szCs w:val="28"/>
                <w:lang w:eastAsia="uk-UA"/>
              </w:rPr>
              <w:t xml:space="preserve">3. Підвищення якості харчування в закладах загальної середньої освіти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8"/>
                <w:szCs w:val="28"/>
                <w:lang w:eastAsia="uk-UA"/>
              </w:rPr>
            </w:r>
          </w:p>
          <w:p>
            <w:pPr>
              <w:pStyle w:val="908"/>
              <w:pBdr/>
              <w:spacing w:line="240" w:lineRule="auto"/>
              <w:ind w:left="0"/>
              <w:jc w:val="center"/>
              <w:rPr>
                <w:rFonts w:ascii="Times New Roman" w:hAnsi="Times New Roman" w:eastAsia="Times New Roman"/>
                <w:i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8"/>
                <w:szCs w:val="28"/>
                <w:lang w:eastAsia="uk-UA"/>
              </w:rPr>
              <w:t xml:space="preserve">Менської ТГ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3.1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Розширення асортименту страв.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Заклади освіти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2025-2027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р.р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3.2.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Розробка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примірного чотиритижневого сезонного меню - документ, що містить набір страв, вихід (масу) їх порцій для різних вікових груп, враховує особливі дієтичні потреби здобувачів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освіти/дітей (у разі наявності), сезонність (осінь, зима, весна, літо).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Заклади освіти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Щорічно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3.3.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Контроль за якістю та безпекою, дотриманням термінів, умов зберігання та реалізації продуктів, за поставкою продуктів харчування   з наявністю сертифікатів відповідності, посвідчень про якість і супровідних документів.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Заклади освіти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Постійно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3.4.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Організація роботи щодо підготовки харчоблоків закладів загальної середньої освіти до початку нового навчального року.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Відділ освіти, КУ «ЦООУЗО» Менської міської ради, керівники ЗЗСО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2025-2027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р.р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gridSpan w:val="4"/>
            <w:tcBorders/>
            <w:tcW w:w="9918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i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4. Організація харчування в пришкільних таборах</w:t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4.1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shd w:val="clear" w:color="auto" w:fill="ffffff"/>
                <w:lang w:eastAsia="uk-UA"/>
              </w:rPr>
              <w:t xml:space="preserve">Організація відпочинку дітей шкільного віку в пришкільних таборах,  створених на базі закладів загальної середньої освіти  (організація щоденного харчування учнів).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Відділ освіти, КУ «ЦООУЗО» Менської міської ради, керівники ЗЗСО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2025-2027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р.р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4.2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Batang"/>
                <w:sz w:val="28"/>
                <w:szCs w:val="28"/>
                <w:lang w:eastAsia="ru-RU"/>
              </w:rPr>
              <w:t xml:space="preserve">Організація  контролю за дотриманням норм харчування, вимог санітарного законодавства та законодавства про безпечність та окремі показники якості харчових продуктів.  (НАССР).</w:t>
            </w:r>
            <w:r>
              <w:rPr>
                <w:rFonts w:ascii="Times New Roman" w:hAnsi="Times New Roman" w:eastAsia="Times New Roman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2025-2027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р.р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636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4.3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5029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інформаційно-просвітницьких профілактичних заходів з дітьми щодо пропаганди здорового способу життя, збереження репродуктивного здоров'я,     здорового харчування(бесід, лекцій, тренінгів, анкетувань)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керівники ЗЗСО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2025-2027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р.р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uk-UA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 w:left="72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left="721"/>
        <w:jc w:val="center"/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7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Очікувані результати   виконання   Програми,   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left="721"/>
        <w:jc w:val="center"/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визначення  її ефективності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left="721"/>
        <w:jc w:val="center"/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Реалізація основних завдань Програми забезпечить: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7"/>
        </w:num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створення умов, що сприяють зміцненню здоров’я учнів закладів загальної середньої освіти, їхньому гармонійному розвитку;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numPr>
          <w:ilvl w:val="0"/>
          <w:numId w:val="7"/>
        </w:num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забезпечення якісного, збалансованого та повноцінного харчування учнів закладів загальної середньої освіти;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08"/>
        <w:numPr>
          <w:ilvl w:val="0"/>
          <w:numId w:val="7"/>
        </w:numPr>
        <w:pBdr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забезпечення  безоплатним гарячим харчуванням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рахунок коштів місцевого бюджету, відповідно до встановленого в закладі освіти режиму (кратності) харчування, учнів закладу загальної середньої освіти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 числа категорій визначених даною Програмою;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908"/>
        <w:numPr>
          <w:ilvl w:val="0"/>
          <w:numId w:val="7"/>
        </w:numPr>
        <w:pBdr/>
        <w:tabs>
          <w:tab w:val="left" w:leader="none" w:pos="426"/>
          <w:tab w:val="left" w:leader="none" w:pos="851"/>
        </w:tabs>
        <w:spacing w:after="0" w:line="240" w:lineRule="auto"/>
        <w:ind w:right="-141"/>
        <w:jc w:val="both"/>
        <w:rPr>
          <w:rStyle w:val="910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забезпечення пільговим гарячим харчуванням з оплатою в розмірі 50% від вартості харчування (діти з сімей в яких троє і більше дітей до 18 років)</w:t>
      </w:r>
      <w:r>
        <w:rPr>
          <w:rStyle w:val="910"/>
          <w:rFonts w:ascii="Times New Roman" w:hAnsi="Times New Roman"/>
          <w:sz w:val="28"/>
          <w:szCs w:val="28"/>
        </w:rPr>
        <w:t xml:space="preserve">;</w:t>
      </w:r>
      <w:r>
        <w:rPr>
          <w:rStyle w:val="910"/>
        </w:rPr>
      </w:r>
    </w:p>
    <w:p>
      <w:pPr>
        <w:numPr>
          <w:ilvl w:val="0"/>
          <w:numId w:val="7"/>
        </w:numPr>
        <w:pBdr/>
        <w:shd w:val="clear" w:color="auto" w:fill="ffffff"/>
        <w:spacing w:after="0" w:line="240" w:lineRule="auto"/>
        <w:ind/>
        <w:jc w:val="both"/>
        <w:rPr>
          <w:rFonts w:eastAsia="Times New Roman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раціональне та ефективне використання бюджетних коштів;</w:t>
      </w:r>
      <w:r>
        <w:rPr>
          <w:rFonts w:eastAsia="Times New Roman"/>
          <w:lang w:eastAsia="uk-UA"/>
        </w:rPr>
      </w:r>
    </w:p>
    <w:p>
      <w:pPr>
        <w:numPr>
          <w:ilvl w:val="0"/>
          <w:numId w:val="7"/>
        </w:num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формування навичок правильного та здорового харчування.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left="72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left="721"/>
        <w:jc w:val="center"/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. 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t xml:space="preserve">Оцінка фінансових,  матеріально-технічних, трудових ресурсів, 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  <w:br/>
        <w:t xml:space="preserve">необхідних для виконання Програми</w:t>
      </w:r>
      <w:r>
        <w:rPr>
          <w:rFonts w:ascii="Times New Roman" w:hAnsi="Times New Roman" w:eastAsia="Times New Roman"/>
          <w:b/>
          <w:color w:val="212529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left="721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Фінансування Програми здійснюється за рахунок коштів бюджету  Менської міської територіальної громади, а також за рахунок інших джерел, не заборонених законодавством України.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При цьому обсяг коштів визначається під час формування бюджету з урахуванням його фінансових можливостей та може змінюватися в процесі виконання бюджету при внесенні змін до нього.  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Batang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Орієнтовні обсяги та джерела фінансування Програми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організації харчування дітей в закладах загальної середньої освіти Менської міської ради на 2025-2027 роки визначені в Паспорті Програми.</w:t>
      </w:r>
      <w:r>
        <w:rPr>
          <w:rFonts w:ascii="Times New Roman" w:hAnsi="Times New Roman" w:eastAsia="Batang"/>
          <w:lang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Враховуючи те, що протягом року може змінюватись кількість дітей, які відвідують заклади загальної середньої освіти, а також кількість дітей, яким надається безоплатне та пільгове гаряче харчування, суми на харчування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переглядаються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виділяються згідно фактичної кількості осіб.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Відділ освіти за підсумками кожного року подає звіт про виконання Програми та вносить пропозиції щодо потреби в коштах на наступний рік, до кінця дії Програми.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основу розрахунку потреби коштів,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необхідних для реалізації даної Програми у 2025-2027 роках для забезпечення харчування учнів у закладах загальної середньої освіти протягом навчального року, покладено наступні вимоги: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- орієнтовна кількість учнів, які охоплені гарячим харчуванням;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- орієнтовна кількість учнів, які охоплені безоплатним гарячим харчуванням,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категорії яких визначені даною Програмою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tabs>
          <w:tab w:val="left" w:leader="none" w:pos="426"/>
          <w:tab w:val="left" w:leader="none" w:pos="851"/>
        </w:tabs>
        <w:spacing w:after="0" w:line="240" w:lineRule="auto"/>
        <w:ind w:right="-141" w:firstLine="567"/>
        <w:jc w:val="both"/>
        <w:rPr>
          <w:rStyle w:val="910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- орієнтовна кількість учнів, які охоплені г</w:t>
      </w:r>
      <w:r>
        <w:rPr>
          <w:rStyle w:val="910"/>
          <w:rFonts w:ascii="Times New Roman" w:hAnsi="Times New Roman"/>
          <w:sz w:val="28"/>
          <w:szCs w:val="28"/>
        </w:rPr>
        <w:t xml:space="preserve">арячим харчуванням, з оплатою в розмірі 50% від вартості харчування (діти з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сімей в яких троє і більше дітей до 18 років);</w:t>
      </w:r>
      <w:r>
        <w:rPr>
          <w:rStyle w:val="910"/>
          <w:rFonts w:ascii="Times New Roman" w:hAnsi="Times New Roman"/>
          <w:sz w:val="28"/>
          <w:szCs w:val="28"/>
        </w:rPr>
        <w:t xml:space="preserve"> </w:t>
      </w:r>
      <w:r>
        <w:rPr>
          <w:rStyle w:val="910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eastAsia="Batang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- вартість харчування на одну дитину в день (2025 рік – 45,00 грн в день, 2026 рік – 50,00 грн в день, 2027 рік – 55,00 грн в день;</w:t>
      </w:r>
      <w:r>
        <w:rPr>
          <w:rFonts w:eastAsia="Batang"/>
          <w:lang w:eastAsia="ru-RU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 w:eastAsia="Batang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- середній показник кількості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дітоднів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за попередні роки;</w:t>
      </w:r>
      <w:r>
        <w:rPr>
          <w:rFonts w:ascii="Times New Roman" w:hAnsi="Times New Roman" w:eastAsia="Batang"/>
          <w:lang w:eastAsia="ru-RU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- середній показник виконання норм харчування за попередні роки.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основу розрахунку потреби коштів,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необхідних для реалізації даної Програми у 2025-2027 роках для забезпечення харчування учнів у пришкільних таборах відпочинку при закладах загальної середньої освіти, покладено наступні вимоги: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- орієнтовна кількість учнів 1-4 класів;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Bdr/>
        <w:spacing w:after="0" w:line="240" w:lineRule="auto"/>
        <w:ind w:right="-141" w:firstLine="567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- кількість днів відпочинкової зміни (14 днів);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eastAsia="Batang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- вартість харчування на одну дитину в день (2025 рік – 60,00 грн в день, 2026 рік – 65,00 грн в день, 2027 рік – 70,00 грн в день;</w:t>
      </w:r>
      <w:r>
        <w:rPr>
          <w:rFonts w:eastAsia="Batang"/>
          <w:lang w:eastAsia="ru-RU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- середній показник виконання норм харчування за попередні роки.</w:t>
      </w:r>
      <w:r>
        <w:rPr>
          <w:rFonts w:ascii="Times New Roman" w:hAnsi="Times New Roman" w:eastAsia="Batang"/>
          <w:sz w:val="28"/>
          <w:szCs w:val="28"/>
          <w:lang w:eastAsia="ru-RU"/>
        </w:rPr>
      </w:r>
    </w:p>
    <w:p>
      <w:pPr>
        <w:pStyle w:val="908"/>
        <w:pBdr/>
        <w:tabs>
          <w:tab w:val="left" w:leader="none" w:pos="425"/>
        </w:tabs>
        <w:spacing w:after="0" w:line="240" w:lineRule="auto"/>
        <w:ind w:right="-141" w:firstLine="567" w:left="0"/>
        <w:jc w:val="both"/>
        <w:rPr>
          <w:rFonts w:ascii="Times New Roman" w:hAnsi="Times New Roman" w:eastAsia="Batang"/>
          <w:color w:val="ff0000"/>
          <w:lang w:eastAsia="ru-RU"/>
        </w:rPr>
      </w:pPr>
      <w:r>
        <w:rPr>
          <w:rFonts w:ascii="Times New Roman" w:hAnsi="Times New Roman" w:eastAsia="Batang"/>
          <w:color w:val="ff0000"/>
          <w:lang w:eastAsia="ru-RU"/>
        </w:rPr>
      </w:r>
      <w:r>
        <w:rPr>
          <w:rFonts w:ascii="Times New Roman" w:hAnsi="Times New Roman" w:eastAsia="Batang"/>
          <w:color w:val="ff0000"/>
          <w:lang w:eastAsia="ru-RU"/>
        </w:rPr>
      </w:r>
    </w:p>
    <w:tbl>
      <w:tblPr>
        <w:tblStyle w:val="916"/>
        <w:tblW w:w="10012" w:type="dxa"/>
        <w:jc w:val="center"/>
        <w:tblBorders/>
        <w:tblLook w:val="04A0" w:firstRow="1" w:lastRow="0" w:firstColumn="1" w:lastColumn="0" w:noHBand="0" w:noVBand="1"/>
      </w:tblPr>
      <w:tblGrid>
        <w:gridCol w:w="2547"/>
        <w:gridCol w:w="1987"/>
        <w:gridCol w:w="1826"/>
        <w:gridCol w:w="1826"/>
        <w:gridCol w:w="1826"/>
      </w:tblGrid>
      <w:tr>
        <w:trPr>
          <w:jc w:val="center"/>
        </w:trPr>
        <w:tc>
          <w:tcPr>
            <w:tcBorders/>
            <w:tcW w:w="254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  <w:t xml:space="preserve">Всього на рік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2025 рік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2026 рік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2027 рік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254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  <w:t xml:space="preserve">Протягом навчального року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43 065 345,00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14 114 125,00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  <w:t xml:space="preserve">14 193 735,00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  <w:t xml:space="preserve">14 757 485,00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254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  <w:t xml:space="preserve">У пришкільних таборах відпочинку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1 665 160,00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  <w:t xml:space="preserve">558 600,00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  <w:t xml:space="preserve">546 000,00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  <w:t xml:space="preserve">560 560,00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uk-UA"/>
              </w:rPr>
            </w:r>
          </w:p>
        </w:tc>
      </w:tr>
      <w:tr>
        <w:trPr>
          <w:jc w:val="center"/>
        </w:trPr>
        <w:tc>
          <w:tcPr>
            <w:tcBorders/>
            <w:tcW w:w="254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987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44 730 505,00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14 672 725,00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  <w:t xml:space="preserve">14 739 735,00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r>
          </w:p>
        </w:tc>
        <w:tc>
          <w:tcPr>
            <w:tcBorders/>
            <w:tcW w:w="1826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  <w:t xml:space="preserve">15 318 045,00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uk-UA"/>
              </w:rPr>
            </w:r>
          </w:p>
        </w:tc>
      </w:tr>
    </w:tbl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9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. Контроль за виконанням програми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/>
          <w:sz w:val="28"/>
          <w:szCs w:val="28"/>
          <w:lang w:val="ru-RU" w:eastAsia="uk-UA"/>
        </w:rPr>
      </w:r>
      <w:r>
        <w:rPr>
          <w:rFonts w:ascii="Times New Roman" w:hAnsi="Times New Roman" w:eastAsia="Times New Roman"/>
          <w:sz w:val="28"/>
          <w:szCs w:val="28"/>
          <w:lang w:val="ru-RU" w:eastAsia="uk-UA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Організація виконання Програми покладається на Відділ освіти Менської міської ради, Комунальну установу «Центр з обслуговування освітніх установ та закладів освіти», адміністрації  закладів загальної середньої освіти Менської ТГ.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567"/>
        </w:tabs>
        <w:spacing w:after="0" w:line="240" w:lineRule="auto"/>
        <w:ind w:right="-141" w:firstLine="567"/>
        <w:jc w:val="both"/>
        <w:rPr>
          <w:rFonts w:ascii="Arial" w:hAnsi="Arial" w:eastAsia="Times New Roman" w:cs="Arial"/>
          <w:color w:val="444444"/>
          <w:sz w:val="21"/>
          <w:szCs w:val="21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Контроль за ходом реалізації Програми здійснюється постійною комісією Менської міської ради з питань охорони здоров’я, соціального захисту населення,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освіти, культури, молоді, фізкультури і спорту, </w:t>
      </w:r>
      <w:r>
        <w:rPr>
          <w:rFonts w:ascii="Times New Roman" w:hAnsi="Times New Roman"/>
          <w:sz w:val="28"/>
          <w:szCs w:val="28"/>
        </w:rPr>
        <w:t xml:space="preserve">заступником міського голови з питань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виконавчих органів </w:t>
      </w:r>
      <w:r>
        <w:rPr>
          <w:rFonts w:ascii="Times New Roman" w:hAnsi="Times New Roman"/>
          <w:sz w:val="28"/>
          <w:szCs w:val="28"/>
        </w:rPr>
        <w:t xml:space="preserve">ради </w:t>
      </w:r>
      <w:r>
        <w:rPr>
          <w:rFonts w:ascii="Times New Roman" w:hAnsi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рищепою</w:t>
      </w:r>
      <w:r>
        <w:rPr>
          <w:rFonts w:ascii="Times New Roman" w:hAnsi="Times New Roman"/>
          <w:sz w:val="28"/>
          <w:szCs w:val="28"/>
        </w:rPr>
        <w:t xml:space="preserve"> В.В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44546a" w:themeColor="text2"/>
          <w:sz w:val="28"/>
          <w:szCs w:val="28"/>
          <w:lang w:eastAsia="uk-UA"/>
        </w:rPr>
        <w:t xml:space="preserve"> </w:t>
      </w:r>
      <w:r>
        <w:rPr>
          <w:rFonts w:ascii="Arial" w:hAnsi="Arial" w:eastAsia="Times New Roman" w:cs="Arial"/>
          <w:color w:val="444444"/>
          <w:sz w:val="21"/>
          <w:szCs w:val="21"/>
          <w:lang w:eastAsia="uk-UA"/>
        </w:rPr>
      </w:r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Начальник Відділу освіти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Менської міської ради                                                                Ірина ЛУК’ЯНЕНКО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>
        <w:rFonts w:ascii="Times New Roman" w:hAnsi="Times New Roman"/>
      </w:rPr>
    </w:pPr>
    <w:r>
      <w:t xml:space="preserve">                                            </w:t>
    </w:r>
    <w:r>
      <w:rPr>
        <w:rFonts w:ascii="Times New Roman" w:hAnsi="Times New Roman" w:eastAsia="Times New Roman"/>
      </w:rPr>
      <w:t xml:space="preserve">       </w:t>
    </w: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/>
      </w:rPr>
      <w:t xml:space="preserve">1</w:t>
    </w:r>
    <w:r>
      <w:rPr>
        <w:rFonts w:ascii="Times New Roman" w:hAnsi="Times New Roman" w:eastAsia="Times New Roman"/>
      </w:rPr>
      <w:fldChar w:fldCharType="end"/>
    </w:r>
    <w:r>
      <w:rPr>
        <w:rFonts w:ascii="Times New Roman" w:hAnsi="Times New Roman" w:eastAsia="Times New Roman"/>
      </w:rPr>
      <w:t xml:space="preserve">                           продовження додатка</w:t>
    </w:r>
    <w:r>
      <w:rPr>
        <w:rFonts w:ascii="Times New Roman" w:hAnsi="Times New Roman"/>
      </w:rPr>
    </w:r>
  </w:p>
  <w:p>
    <w:pPr>
      <w:pStyle w:val="89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9" w:left="928"/>
      </w:pPr>
      <w:rPr>
        <w:rFonts w:hint="default" w:ascii="Times New Roman" w:hAnsi="Times New Roman" w:eastAsia="Batang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6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3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30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8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5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2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9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688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eastAsia="Times New Roman" w:cs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81"/>
      </w:pPr>
      <w:rPr>
        <w:b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1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Times New Roman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4"/>
  </w:num>
  <w:num w:numId="5">
    <w:abstractNumId w:val="1"/>
  </w:num>
  <w:num w:numId="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8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8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8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8"/>
    <w:link w:val="7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8"/>
    <w:link w:val="7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8"/>
    <w:link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8"/>
    <w:link w:val="7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8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8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8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8"/>
    <w:link w:val="88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38"/>
    <w:link w:val="891"/>
    <w:uiPriority w:val="99"/>
    <w:pPr>
      <w:pBdr/>
      <w:spacing/>
      <w:ind/>
    </w:pPr>
  </w:style>
  <w:style w:type="character" w:styleId="178">
    <w:name w:val="Footer Char"/>
    <w:basedOn w:val="738"/>
    <w:link w:val="893"/>
    <w:uiPriority w:val="99"/>
    <w:pPr>
      <w:pBdr/>
      <w:spacing/>
      <w:ind/>
    </w:pPr>
  </w:style>
  <w:style w:type="character" w:styleId="181">
    <w:name w:val="Footnote Text Char"/>
    <w:basedOn w:val="738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8"/>
    <w:link w:val="899"/>
    <w:uiPriority w:val="99"/>
    <w:semiHidden/>
    <w:pPr>
      <w:pBdr/>
      <w:spacing/>
      <w:ind/>
    </w:pPr>
    <w:rPr>
      <w:sz w:val="20"/>
      <w:szCs w:val="20"/>
    </w:rPr>
  </w:style>
  <w:style w:type="paragraph" w:styleId="728" w:default="1">
    <w:name w:val="Normal"/>
    <w:qFormat/>
    <w:pPr>
      <w:pBdr/>
      <w:spacing w:line="256" w:lineRule="auto"/>
      <w:ind/>
    </w:pPr>
    <w:rPr>
      <w:rFonts w:ascii="Calibri" w:hAnsi="Calibri" w:eastAsia="Calibri" w:cs="Times New Roman"/>
      <w:lang w:val="uk-UA"/>
    </w:rPr>
  </w:style>
  <w:style w:type="paragraph" w:styleId="729">
    <w:name w:val="Heading 1"/>
    <w:basedOn w:val="728"/>
    <w:next w:val="728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30">
    <w:name w:val="Heading 2"/>
    <w:basedOn w:val="728"/>
    <w:next w:val="728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31">
    <w:name w:val="Heading 3"/>
    <w:basedOn w:val="728"/>
    <w:next w:val="728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32">
    <w:name w:val="Heading 4"/>
    <w:basedOn w:val="728"/>
    <w:next w:val="728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33">
    <w:name w:val="Heading 5"/>
    <w:basedOn w:val="728"/>
    <w:next w:val="728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34">
    <w:name w:val="Heading 6"/>
    <w:basedOn w:val="728"/>
    <w:next w:val="728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5">
    <w:name w:val="Heading 7"/>
    <w:basedOn w:val="728"/>
    <w:next w:val="728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6">
    <w:name w:val="Heading 8"/>
    <w:basedOn w:val="728"/>
    <w:next w:val="728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7">
    <w:name w:val="Heading 9"/>
    <w:basedOn w:val="728"/>
    <w:next w:val="728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 w:customStyle="1">
    <w:name w:val="Table Grid Light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3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3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6" w:customStyle="1">
    <w:name w:val="Заголовок 1 Знак"/>
    <w:basedOn w:val="738"/>
    <w:link w:val="72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67" w:customStyle="1">
    <w:name w:val="Заголовок 2 Знак"/>
    <w:basedOn w:val="738"/>
    <w:link w:val="73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68" w:customStyle="1">
    <w:name w:val="Заголовок 3 Знак"/>
    <w:basedOn w:val="738"/>
    <w:link w:val="73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69" w:customStyle="1">
    <w:name w:val="Заголовок 4 Знак"/>
    <w:basedOn w:val="738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0" w:customStyle="1">
    <w:name w:val="Заголовок 5 Знак"/>
    <w:basedOn w:val="738"/>
    <w:link w:val="73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71" w:customStyle="1">
    <w:name w:val="Заголовок 6 Знак"/>
    <w:basedOn w:val="738"/>
    <w:link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 w:customStyle="1">
    <w:name w:val="Заголовок 7 Знак"/>
    <w:basedOn w:val="738"/>
    <w:link w:val="7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 w:customStyle="1">
    <w:name w:val="Заголовок 8 Знак"/>
    <w:basedOn w:val="738"/>
    <w:link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 w:customStyle="1">
    <w:name w:val="Заголовок 9 Знак"/>
    <w:basedOn w:val="738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728"/>
    <w:next w:val="728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 w:customStyle="1">
    <w:name w:val="Назва Знак"/>
    <w:basedOn w:val="738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728"/>
    <w:next w:val="728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 w:customStyle="1">
    <w:name w:val="Підзаголовок Знак"/>
    <w:basedOn w:val="738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728"/>
    <w:next w:val="728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 w:customStyle="1">
    <w:name w:val="Цитата Знак"/>
    <w:basedOn w:val="738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73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82">
    <w:name w:val="Intense Quote"/>
    <w:basedOn w:val="728"/>
    <w:next w:val="728"/>
    <w:link w:val="883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83" w:customStyle="1">
    <w:name w:val="Насичена цитата Знак"/>
    <w:basedOn w:val="738"/>
    <w:link w:val="882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84">
    <w:name w:val="Intense Reference"/>
    <w:basedOn w:val="73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85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886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888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1">
    <w:name w:val="Header"/>
    <w:basedOn w:val="728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 w:customStyle="1">
    <w:name w:val="Верхній колонтитул Знак"/>
    <w:basedOn w:val="738"/>
    <w:link w:val="891"/>
    <w:uiPriority w:val="99"/>
    <w:pPr>
      <w:pBdr/>
      <w:spacing/>
      <w:ind/>
    </w:pPr>
  </w:style>
  <w:style w:type="paragraph" w:styleId="893">
    <w:name w:val="Footer"/>
    <w:basedOn w:val="728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 w:customStyle="1">
    <w:name w:val="Нижній колонтитул Знак"/>
    <w:basedOn w:val="738"/>
    <w:link w:val="893"/>
    <w:uiPriority w:val="99"/>
    <w:pPr>
      <w:pBdr/>
      <w:spacing/>
      <w:ind/>
    </w:pPr>
  </w:style>
  <w:style w:type="paragraph" w:styleId="895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96">
    <w:name w:val="footnote text"/>
    <w:basedOn w:val="728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 w:customStyle="1">
    <w:name w:val="Текст виноски Знак"/>
    <w:basedOn w:val="738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foot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728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 w:customStyle="1">
    <w:name w:val="Текст кінцевої виноски Знак"/>
    <w:basedOn w:val="738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character" w:styleId="902">
    <w:name w:val="FollowedHyperlink"/>
    <w:basedOn w:val="7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728"/>
    <w:next w:val="728"/>
    <w:uiPriority w:val="99"/>
    <w:unhideWhenUsed/>
    <w:pPr>
      <w:pBdr/>
      <w:spacing w:after="0"/>
      <w:ind/>
    </w:pPr>
  </w:style>
  <w:style w:type="character" w:styleId="905">
    <w:name w:val="Hyperlink"/>
    <w:uiPriority w:val="99"/>
    <w:semiHidden/>
    <w:unhideWhenUsed/>
    <w:pPr>
      <w:pBdr/>
      <w:spacing/>
      <w:ind/>
    </w:pPr>
    <w:rPr>
      <w:color w:val="0563c1" w:themeColor="hyperlink"/>
      <w:u w:val="single"/>
    </w:rPr>
  </w:style>
  <w:style w:type="paragraph" w:styleId="906">
    <w:name w:val="HTML Preformatted"/>
    <w:basedOn w:val="728"/>
    <w:link w:val="907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07" w:customStyle="1">
    <w:name w:val="Стандартний HTML Знак"/>
    <w:basedOn w:val="738"/>
    <w:link w:val="906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val="uk-UA" w:eastAsia="uk-UA"/>
    </w:rPr>
  </w:style>
  <w:style w:type="paragraph" w:styleId="908">
    <w:name w:val="List Paragraph"/>
    <w:basedOn w:val="728"/>
    <w:uiPriority w:val="34"/>
    <w:qFormat/>
    <w:pPr>
      <w:pBdr/>
      <w:spacing/>
      <w:ind w:left="720"/>
      <w:contextualSpacing w:val="true"/>
    </w:pPr>
  </w:style>
  <w:style w:type="paragraph" w:styleId="909" w:customStyle="1">
    <w:name w:val="rvps2"/>
    <w:basedOn w:val="72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character" w:styleId="910" w:customStyle="1">
    <w:name w:val="4247"/>
    <w:basedOn w:val="738"/>
    <w:pPr>
      <w:pBdr/>
      <w:spacing/>
      <w:ind/>
    </w:pPr>
  </w:style>
  <w:style w:type="paragraph" w:styleId="911">
    <w:name w:val="Balloon Text"/>
    <w:basedOn w:val="728"/>
    <w:link w:val="912"/>
    <w:uiPriority w:val="99"/>
    <w:semiHidden/>
    <w:unhideWhenUsed/>
    <w:pPr>
      <w:pBdr/>
      <w:spacing w:after="0" w:line="240" w:lineRule="auto"/>
      <w:ind/>
    </w:pPr>
    <w:rPr>
      <w:rFonts w:cs="Calibri"/>
      <w:sz w:val="18"/>
      <w:szCs w:val="18"/>
    </w:rPr>
  </w:style>
  <w:style w:type="character" w:styleId="912" w:customStyle="1">
    <w:name w:val="Текст у виносці Знак"/>
    <w:basedOn w:val="738"/>
    <w:link w:val="911"/>
    <w:uiPriority w:val="99"/>
    <w:semiHidden/>
    <w:pPr>
      <w:pBdr/>
      <w:spacing/>
      <w:ind/>
    </w:pPr>
    <w:rPr>
      <w:rFonts w:ascii="Calibri" w:hAnsi="Calibri" w:eastAsia="Calibri" w:cs="Calibri"/>
      <w:sz w:val="18"/>
      <w:szCs w:val="18"/>
      <w:lang w:val="uk-UA"/>
    </w:rPr>
  </w:style>
  <w:style w:type="character" w:styleId="913" w:customStyle="1">
    <w:name w:val="1332"/>
    <w:pPr>
      <w:pBdr/>
      <w:spacing/>
      <w:ind/>
    </w:pPr>
  </w:style>
  <w:style w:type="character" w:styleId="914" w:customStyle="1">
    <w:name w:val="Основной текст_"/>
    <w:basedOn w:val="738"/>
    <w:link w:val="915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15" w:customStyle="1">
    <w:name w:val="Основной текст1"/>
    <w:basedOn w:val="728"/>
    <w:link w:val="914"/>
    <w:pPr>
      <w:widowControl w:val="false"/>
      <w:pBdr/>
      <w:shd w:val="clear" w:color="auto" w:fill="ffffff"/>
      <w:spacing w:after="0" w:line="259" w:lineRule="auto"/>
      <w:ind w:firstLine="400"/>
    </w:pPr>
    <w:rPr>
      <w:rFonts w:ascii="Times New Roman" w:hAnsi="Times New Roman" w:eastAsia="Times New Roman"/>
      <w:sz w:val="26"/>
      <w:szCs w:val="26"/>
      <w:lang w:val="en-US"/>
    </w:rPr>
  </w:style>
  <w:style w:type="table" w:styleId="916">
    <w:name w:val="Table Grid"/>
    <w:basedOn w:val="73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7">
    <w:name w:val="Normal (Web)"/>
    <w:basedOn w:val="728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zakon.rada.gov.ua/laws/show/1768-14" TargetMode="External"/><Relationship Id="rId13" Type="http://schemas.openxmlformats.org/officeDocument/2006/relationships/hyperlink" Target="https://zakon.rada.gov.ua/laws/show/796-12" TargetMode="External"/><Relationship Id="rId14" Type="http://schemas.openxmlformats.org/officeDocument/2006/relationships/hyperlink" Target="https://zakon.rada.gov.ua/laws/show/3551-12" TargetMode="External"/><Relationship Id="rId15" Type="http://schemas.openxmlformats.org/officeDocument/2006/relationships/hyperlink" Target="https://zakon.rada.gov.ua/laws/show/3551-12" TargetMode="External"/><Relationship Id="rId16" Type="http://schemas.openxmlformats.org/officeDocument/2006/relationships/hyperlink" Target="https://zakon.rada.gov.ua/laws/show/3551-12" TargetMode="External"/><Relationship Id="rId17" Type="http://schemas.openxmlformats.org/officeDocument/2006/relationships/hyperlink" Target="https://zakon.rada.gov.ua/laws/show/1768-14" TargetMode="External"/><Relationship Id="rId18" Type="http://schemas.openxmlformats.org/officeDocument/2006/relationships/hyperlink" Target="https://zakon.rada.gov.ua/laws/show/796-12" TargetMode="External"/><Relationship Id="rId19" Type="http://schemas.openxmlformats.org/officeDocument/2006/relationships/hyperlink" Target="https://zakon.rada.gov.ua/laws/show/3551-12" TargetMode="External"/><Relationship Id="rId20" Type="http://schemas.openxmlformats.org/officeDocument/2006/relationships/hyperlink" Target="https://zakon.rada.gov.ua/laws/show/3551-12" TargetMode="External"/><Relationship Id="rId21" Type="http://schemas.openxmlformats.org/officeDocument/2006/relationships/hyperlink" Target="https://zakon.rada.gov.ua/laws/show/3551-1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57</cp:revision>
  <dcterms:created xsi:type="dcterms:W3CDTF">2021-11-24T10:01:00Z</dcterms:created>
  <dcterms:modified xsi:type="dcterms:W3CDTF">2024-12-21T14:23:06Z</dcterms:modified>
</cp:coreProperties>
</file>