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06"/>
        <w:pBdr/>
        <w:spacing/>
        <w:ind w:firstLine="567"/>
        <w:jc w:val="center"/>
        <w:rPr>
          <w:color w:val="000000"/>
        </w:rPr>
      </w:pPr>
      <w:r>
        <w:rPr>
          <w:color w:val="000000" w:themeColor="text1"/>
          <w:lang w:eastAsia="uk-UA"/>
        </w:rPr>
      </w:r>
      <w:r>
        <w:rPr>
          <w:color w:val="000000"/>
        </w:rPr>
      </w:r>
      <w:r>
        <w:rPr>
          <w:color w:val="000000"/>
        </w:rPr>
      </w:r>
    </w:p>
    <w:p>
      <w:pPr>
        <w:pStyle w:val="906"/>
        <w:pBdr/>
        <w:spacing/>
        <w:ind w:firstLine="567"/>
        <w:jc w:val="center"/>
        <w:rPr>
          <w:rFonts w:ascii="Times New Roman" w:hAnsi="Times New Roman" w:cs="Mangal"/>
          <w:color w:val="000000"/>
        </w:rPr>
      </w:pPr>
      <w:r>
        <w:rPr>
          <w:rFonts w:ascii="Times New Roman" w:hAnsi="Times New Roman" w:cs="Mangal"/>
          <w:b/>
          <w:color w:val="000000" w:themeColor="text1"/>
          <w:sz w:val="28"/>
          <w:szCs w:val="28"/>
          <w:lang w:eastAsia="hi-IN" w:bidi="hi-IN"/>
        </w:rPr>
        <w:t xml:space="preserve">МЕНСЬКА МІСЬКА РАДА</w:t>
      </w:r>
      <w:r>
        <w:rPr>
          <w:rFonts w:ascii="Times New Roman" w:hAnsi="Times New Roman" w:cs="Mangal"/>
          <w:color w:val="000000"/>
        </w:rPr>
      </w:r>
      <w:r>
        <w:rPr>
          <w:rFonts w:ascii="Times New Roman" w:hAnsi="Times New Roman" w:cs="Mangal"/>
          <w:color w:val="000000"/>
        </w:rPr>
      </w:r>
    </w:p>
    <w:p>
      <w:pPr>
        <w:widowControl w:val="false"/>
        <w:pBdr/>
        <w:spacing/>
        <w:ind/>
        <w:jc w:val="center"/>
        <w:rPr>
          <w:rFonts w:cs="Mangal"/>
          <w:color w:val="000000"/>
          <w:sz w:val="16"/>
        </w:rPr>
      </w:pPr>
      <w:r>
        <w:rPr>
          <w:rFonts w:cs="Mangal"/>
          <w:color w:val="000000"/>
          <w:sz w:val="16"/>
        </w:rPr>
      </w:r>
      <w:r>
        <w:rPr>
          <w:rFonts w:cs="Mangal"/>
          <w:color w:val="000000"/>
          <w:sz w:val="16"/>
        </w:rPr>
      </w:r>
      <w:r>
        <w:rPr>
          <w:rFonts w:cs="Mangal"/>
          <w:color w:val="000000"/>
          <w:sz w:val="16"/>
        </w:rPr>
      </w:r>
    </w:p>
    <w:p>
      <w:pPr>
        <w:widowControl w:val="false"/>
        <w:pBdr/>
        <w:spacing/>
        <w:ind/>
        <w:jc w:val="center"/>
        <w:rPr>
          <w:rFonts w:cs="Mangal"/>
          <w:b/>
          <w:color w:val="000000"/>
          <w:szCs w:val="28"/>
          <w:lang w:eastAsia="hi-IN" w:bidi="hi-IN"/>
        </w:rPr>
      </w:pPr>
      <w:r>
        <w:rPr>
          <w:rFonts w:cs="Mangal"/>
          <w:b/>
          <w:color w:val="000000" w:themeColor="text1"/>
          <w:szCs w:val="28"/>
          <w:lang w:eastAsia="hi-IN" w:bidi="hi-IN"/>
        </w:rPr>
        <w:t xml:space="preserve">РОЗПОРЯДЖЕННЯ </w:t>
      </w:r>
      <w:r>
        <w:rPr>
          <w:rFonts w:cs="Mangal"/>
          <w:b/>
          <w:color w:val="000000"/>
          <w:szCs w:val="28"/>
          <w:lang w:eastAsia="hi-IN" w:bidi="hi-IN"/>
        </w:rPr>
      </w:r>
      <w:r>
        <w:rPr>
          <w:rFonts w:cs="Mangal"/>
          <w:b/>
          <w:color w:val="000000"/>
          <w:szCs w:val="28"/>
          <w:lang w:eastAsia="hi-IN" w:bidi="hi-IN"/>
        </w:rPr>
      </w:r>
    </w:p>
    <w:p>
      <w:pPr>
        <w:widowControl w:val="false"/>
        <w:pBdr/>
        <w:tabs>
          <w:tab w:val="left" w:leader="none" w:pos="4535"/>
          <w:tab w:val="left" w:leader="none" w:pos="7371"/>
          <w:tab w:val="left" w:leader="none" w:pos="7513"/>
        </w:tabs>
        <w:spacing/>
        <w:ind/>
        <w:rPr>
          <w:rFonts w:cs="Mangal"/>
          <w:color w:val="000000"/>
        </w:rPr>
      </w:pPr>
      <w:r>
        <w:rPr>
          <w:rFonts w:cs="Mangal"/>
          <w:color w:val="000000"/>
        </w:rPr>
      </w:r>
      <w:r>
        <w:rPr>
          <w:rFonts w:cs="Mangal"/>
          <w:color w:val="000000"/>
        </w:rPr>
      </w:r>
      <w:r>
        <w:rPr>
          <w:rFonts w:cs="Mangal"/>
          <w:color w:val="000000"/>
        </w:rPr>
      </w:r>
    </w:p>
    <w:p>
      <w:pPr>
        <w:widowControl w:val="false"/>
        <w:pBdr/>
        <w:tabs>
          <w:tab w:val="clear" w:leader="none" w:pos="1134"/>
          <w:tab w:val="left" w:leader="none" w:pos="4394"/>
          <w:tab w:val="left" w:leader="none" w:pos="7370"/>
        </w:tabs>
        <w:spacing/>
        <w:ind w:right="0" w:firstLine="0" w:left="0"/>
        <w:rPr>
          <w:rFonts w:cs="Mangal"/>
          <w:color w:val="000000" w:themeColor="text1"/>
          <w:szCs w:val="28"/>
          <w:lang w:eastAsia="hi-IN" w:bidi="hi-IN"/>
        </w:rPr>
      </w:pPr>
      <w:r>
        <w:rPr>
          <w:rFonts w:cs="Mangal"/>
          <w:color w:val="000000" w:themeColor="text1"/>
          <w:szCs w:val="28"/>
          <w:lang w:eastAsia="hi-IN" w:bidi="hi-IN"/>
        </w:rPr>
        <w:t xml:space="preserve"> </w:t>
      </w:r>
      <w:r>
        <w:rPr>
          <w:rFonts w:cs="Mangal"/>
          <w:color w:val="000000" w:themeColor="text1"/>
          <w:szCs w:val="28"/>
          <w:lang w:eastAsia="hi-IN" w:bidi="hi-IN"/>
        </w:rPr>
        <w:t xml:space="preserve">19</w:t>
      </w:r>
      <w:r>
        <w:rPr>
          <w:rFonts w:cs="Mangal"/>
          <w:color w:val="000000" w:themeColor="text1"/>
          <w:szCs w:val="28"/>
          <w:lang w:eastAsia="hi-IN" w:bidi="hi-IN"/>
        </w:rPr>
        <w:t xml:space="preserve"> </w:t>
      </w:r>
      <w:r>
        <w:rPr>
          <w:rFonts w:cs="Mangal"/>
          <w:color w:val="000000" w:themeColor="text1"/>
          <w:szCs w:val="28"/>
          <w:lang w:eastAsia="hi-IN" w:bidi="hi-IN"/>
        </w:rPr>
        <w:t xml:space="preserve">грудня</w:t>
      </w:r>
      <w:r>
        <w:rPr>
          <w:rFonts w:cs="Mangal"/>
          <w:color w:val="000000" w:themeColor="text1"/>
          <w:szCs w:val="28"/>
          <w:lang w:eastAsia="hi-IN" w:bidi="hi-IN"/>
        </w:rPr>
        <w:t xml:space="preserve"> 202</w:t>
      </w:r>
      <w:r>
        <w:rPr>
          <w:rFonts w:cs="Mangal"/>
          <w:color w:val="000000" w:themeColor="text1"/>
          <w:szCs w:val="28"/>
          <w:lang w:eastAsia="hi-IN" w:bidi="hi-IN"/>
        </w:rPr>
        <w:t xml:space="preserve">4</w:t>
      </w:r>
      <w:r>
        <w:rPr>
          <w:rFonts w:cs="Mangal"/>
          <w:color w:val="000000" w:themeColor="text1"/>
          <w:szCs w:val="28"/>
          <w:lang w:eastAsia="hi-IN" w:bidi="hi-IN"/>
        </w:rPr>
        <w:t xml:space="preserve"> року</w:t>
      </w:r>
      <w:r>
        <w:rPr>
          <w:rFonts w:cs="Mangal"/>
          <w:color w:val="000000" w:themeColor="text1"/>
          <w:szCs w:val="28"/>
          <w:lang w:eastAsia="hi-IN" w:bidi="hi-IN"/>
        </w:rPr>
        <w:tab/>
        <w:t xml:space="preserve">м. Мена</w:t>
      </w:r>
      <w:r>
        <w:rPr>
          <w:rFonts w:cs="Mangal"/>
          <w:color w:val="000000" w:themeColor="text1"/>
          <w:szCs w:val="28"/>
          <w:lang w:eastAsia="hi-IN" w:bidi="hi-IN"/>
        </w:rPr>
        <w:tab/>
        <w:t xml:space="preserve">             № </w:t>
      </w:r>
      <w:r>
        <w:rPr>
          <w:rFonts w:cs="Mangal"/>
          <w:color w:val="000000" w:themeColor="text1"/>
          <w:szCs w:val="28"/>
          <w:lang w:eastAsia="hi-IN" w:bidi="hi-IN"/>
        </w:rPr>
        <w:t xml:space="preserve">400</w:t>
      </w:r>
      <w:r>
        <w:rPr>
          <w:rFonts w:cs="Mangal"/>
          <w:color w:val="000000" w:themeColor="text1"/>
          <w:szCs w:val="28"/>
          <w:lang w:eastAsia="hi-IN" w:bidi="hi-IN"/>
        </w:rPr>
      </w:r>
      <w:r>
        <w:rPr>
          <w:rFonts w:cs="Mangal"/>
          <w:color w:val="000000" w:themeColor="text1"/>
          <w:szCs w:val="28"/>
          <w:lang w:eastAsia="hi-IN" w:bidi="hi-IN"/>
        </w:rPr>
      </w:r>
    </w:p>
    <w:p>
      <w:pPr>
        <w:widowControl w:val="false"/>
        <w:pBdr/>
        <w:tabs>
          <w:tab w:val="clear" w:leader="none" w:pos="1134"/>
          <w:tab w:val="left" w:leader="none" w:pos="4394"/>
          <w:tab w:val="left" w:leader="none" w:pos="7370"/>
        </w:tabs>
        <w:spacing/>
        <w:ind/>
        <w:rPr>
          <w:b/>
          <w:color w:val="000000"/>
        </w:rPr>
      </w:pPr>
      <w:r>
        <w:rPr>
          <w:b/>
          <w:color w:val="000000"/>
        </w:rPr>
      </w:r>
      <w:r>
        <w:rPr>
          <w:b/>
          <w:color w:val="000000"/>
        </w:rPr>
      </w:r>
      <w:r>
        <w:rPr>
          <w:b/>
          <w:color w:val="000000"/>
        </w:rPr>
      </w:r>
    </w:p>
    <w:p>
      <w:pPr>
        <w:pBdr/>
        <w:spacing/>
        <w:ind w:right="5528" w:firstLine="0" w:left="0"/>
        <w:rPr>
          <w:b/>
          <w:color w:val="000000"/>
        </w:rPr>
      </w:pPr>
      <w:r>
        <w:rPr>
          <w:b/>
          <w:color w:val="000000"/>
        </w:rPr>
        <w:t xml:space="preserve">Про внесення змін до  загального</w:t>
      </w:r>
      <w:r>
        <w:rPr>
          <w:b/>
          <w:color w:val="000000"/>
        </w:rPr>
        <w:t xml:space="preserve"> та спеціального</w:t>
      </w:r>
      <w:r>
        <w:rPr>
          <w:b/>
          <w:color w:val="000000"/>
        </w:rPr>
        <w:t xml:space="preserve"> </w:t>
      </w:r>
      <w:r>
        <w:rPr>
          <w:b/>
          <w:color w:val="000000"/>
        </w:rPr>
        <w:t xml:space="preserve">фонд</w:t>
      </w:r>
      <w:r>
        <w:rPr>
          <w:b/>
          <w:color w:val="000000"/>
        </w:rPr>
        <w:t xml:space="preserve">ів</w:t>
      </w:r>
      <w:r>
        <w:rPr>
          <w:b/>
          <w:color w:val="000000"/>
        </w:rPr>
        <w:t xml:space="preserve"> бюджету Менської</w:t>
      </w:r>
      <w:r>
        <w:rPr>
          <w:b/>
          <w:color w:val="000000"/>
        </w:rPr>
        <w:t xml:space="preserve"> </w:t>
      </w:r>
      <w:r>
        <w:rPr>
          <w:b/>
          <w:color w:val="000000"/>
        </w:rPr>
        <w:t xml:space="preserve">місько</w:t>
      </w:r>
      <w:r>
        <w:rPr>
          <w:b/>
          <w:color w:val="000000"/>
        </w:rPr>
        <w:t xml:space="preserve">ї територіальної громади на 2024</w:t>
      </w:r>
      <w:r>
        <w:rPr>
          <w:b/>
          <w:color w:val="000000"/>
        </w:rPr>
        <w:t xml:space="preserve"> рік</w:t>
      </w:r>
      <w:r>
        <w:rPr>
          <w:b/>
          <w:color w:val="000000"/>
        </w:rPr>
      </w:r>
      <w:r>
        <w:rPr>
          <w:b/>
          <w:color w:val="000000"/>
        </w:rPr>
      </w:r>
    </w:p>
    <w:p>
      <w:pPr>
        <w:pBdr/>
        <w:spacing/>
        <w:ind w:right="5528"/>
        <w:rPr>
          <w:b/>
          <w:color w:val="000000"/>
        </w:rPr>
      </w:pPr>
      <w:r>
        <w:rPr>
          <w:b/>
          <w:color w:val="000000"/>
        </w:rPr>
      </w:r>
      <w:r>
        <w:rPr>
          <w:b/>
          <w:color w:val="000000"/>
        </w:rPr>
      </w:r>
      <w:r>
        <w:rPr>
          <w:b/>
          <w:color w:val="000000"/>
        </w:rPr>
      </w:r>
    </w:p>
    <w:p>
      <w:pPr>
        <w:pBdr>
          <w:between w:val="none" w:color="000000" w:sz="4" w:space="0"/>
        </w:pBdr>
        <w:tabs>
          <w:tab w:val="clear" w:leader="none" w:pos="1134"/>
        </w:tabs>
        <w:spacing w:line="253" w:lineRule="atLeast"/>
        <w:ind/>
        <w:rPr>
          <w:color w:val="000000"/>
          <w:szCs w:val="28"/>
        </w:rPr>
      </w:pPr>
      <w:r>
        <w:rPr>
          <w:color w:val="000000"/>
          <w:szCs w:val="28"/>
        </w:rPr>
        <w:t xml:space="preserve">Відповідно до положень Бюджетного кодексу України, ст. 42</w:t>
      </w:r>
      <w:r>
        <w:rPr>
          <w:color w:val="000000"/>
          <w:szCs w:val="28"/>
        </w:rPr>
        <w:t xml:space="preserve">, 50</w:t>
      </w:r>
      <w:r>
        <w:rPr>
          <w:color w:val="000000"/>
          <w:szCs w:val="28"/>
        </w:rPr>
        <w:t xml:space="preserve"> Закону України «Про місцеве самоврядування в Україні», рішення </w:t>
      </w:r>
      <w:r>
        <w:rPr>
          <w:color w:val="000000"/>
          <w:szCs w:val="28"/>
        </w:rPr>
        <w:t xml:space="preserve">43</w:t>
      </w:r>
      <w:r>
        <w:rPr>
          <w:color w:val="000000"/>
          <w:szCs w:val="28"/>
        </w:rPr>
        <w:t xml:space="preserve"> сесії Менської міської ради 8 скликання від 21 грудня 202</w:t>
      </w:r>
      <w:r>
        <w:rPr>
          <w:color w:val="000000"/>
          <w:szCs w:val="28"/>
        </w:rPr>
        <w:t xml:space="preserve">3</w:t>
      </w:r>
      <w:r>
        <w:rPr>
          <w:color w:val="000000"/>
          <w:szCs w:val="28"/>
        </w:rPr>
        <w:t xml:space="preserve"> року № </w:t>
      </w:r>
      <w:r>
        <w:rPr>
          <w:color w:val="000000"/>
          <w:szCs w:val="28"/>
        </w:rPr>
        <w:t xml:space="preserve">777</w:t>
      </w:r>
      <w:r>
        <w:rPr>
          <w:color w:val="000000"/>
          <w:szCs w:val="28"/>
        </w:rPr>
        <w:t xml:space="preserve"> «Про бюджет Менської міської територіальної громади на 202</w:t>
      </w:r>
      <w:r>
        <w:rPr>
          <w:color w:val="000000"/>
          <w:szCs w:val="28"/>
        </w:rPr>
        <w:t xml:space="preserve">4</w:t>
      </w:r>
      <w:r>
        <w:rPr>
          <w:color w:val="000000"/>
          <w:szCs w:val="28"/>
        </w:rPr>
        <w:t xml:space="preserve"> рік», звернен</w:t>
      </w:r>
      <w:r>
        <w:rPr>
          <w:color w:val="000000"/>
          <w:szCs w:val="28"/>
        </w:rPr>
        <w:t xml:space="preserve">ь</w:t>
      </w:r>
      <w:r>
        <w:rPr>
          <w:color w:val="000000"/>
          <w:szCs w:val="28"/>
        </w:rPr>
        <w:t xml:space="preserve"> головн</w:t>
      </w:r>
      <w:r>
        <w:rPr>
          <w:color w:val="000000"/>
          <w:szCs w:val="28"/>
        </w:rPr>
        <w:t xml:space="preserve">их</w:t>
      </w:r>
      <w:r>
        <w:rPr>
          <w:color w:val="000000"/>
          <w:szCs w:val="28"/>
        </w:rPr>
        <w:t xml:space="preserve"> </w:t>
      </w:r>
      <w:r>
        <w:rPr>
          <w:color w:val="000000"/>
          <w:szCs w:val="28"/>
        </w:rPr>
        <w:t xml:space="preserve">розпорядник</w:t>
      </w:r>
      <w:r>
        <w:rPr>
          <w:color w:val="000000"/>
          <w:szCs w:val="28"/>
        </w:rPr>
        <w:t xml:space="preserve">ів</w:t>
      </w:r>
      <w:r>
        <w:rPr>
          <w:color w:val="000000"/>
          <w:szCs w:val="28"/>
        </w:rPr>
        <w:t xml:space="preserve"> бюджетних коштів:</w:t>
      </w:r>
      <w:r>
        <w:rPr>
          <w:color w:val="000000"/>
          <w:szCs w:val="28"/>
        </w:rPr>
      </w:r>
      <w:r>
        <w:rPr>
          <w:color w:val="000000"/>
          <w:szCs w:val="28"/>
        </w:rPr>
      </w:r>
    </w:p>
    <w:p>
      <w:pPr>
        <w:pStyle w:val="905"/>
        <w:numPr>
          <w:ilvl w:val="0"/>
          <w:numId w:val="14"/>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Внести зміни до річного розпису видатків загального фонду Відділу</w:t>
      </w:r>
      <w:r>
        <w:rPr>
          <w:color w:val="000000"/>
          <w:szCs w:val="28"/>
          <w:lang w:eastAsia="uk-UA"/>
        </w:rPr>
        <w:t xml:space="preserve"> культури Менської міської ради в частині видатків для забезпечення виплат заробітної плати та нарахувань на </w:t>
      </w:r>
      <w:r>
        <w:rPr>
          <w:color w:val="000000"/>
          <w:szCs w:val="28"/>
          <w:lang w:eastAsia="uk-UA"/>
        </w:rPr>
        <w:t xml:space="preserve">оплату праці</w:t>
      </w:r>
      <w:r>
        <w:rPr>
          <w:color w:val="000000"/>
          <w:szCs w:val="28"/>
          <w:lang w:eastAsia="uk-UA"/>
        </w:rPr>
        <w:t xml:space="preserve">:</w:t>
      </w:r>
      <w:r>
        <w:rPr>
          <w:color w:val="000000"/>
          <w:szCs w:val="28"/>
          <w:lang w:eastAsia="uk-UA"/>
        </w:rPr>
        <w:t xml:space="preserve"> зменшити кошторисні призначення по забезпеченню діяльності палаців і будинків культури, клубів, центрів дозвілля та інших клубних закладів для </w:t>
      </w:r>
      <w:r>
        <w:rPr>
          <w:color w:val="000000"/>
          <w:szCs w:val="28"/>
          <w:lang w:eastAsia="uk-UA"/>
        </w:rPr>
        <w:t xml:space="preserve">заробітної плати</w:t>
      </w:r>
      <w:r>
        <w:rPr>
          <w:color w:val="000000"/>
          <w:szCs w:val="28"/>
          <w:lang w:eastAsia="uk-UA"/>
        </w:rPr>
        <w:t xml:space="preserve"> на суму 17200,00 грн., для нарахувань на оплату праці на суму 3900,00 грн.</w:t>
      </w:r>
      <w:r>
        <w:rPr>
          <w:color w:val="000000"/>
          <w:szCs w:val="28"/>
          <w:lang w:eastAsia="uk-UA"/>
        </w:rPr>
        <w:t xml:space="preserve"> </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567"/>
        <w:rPr>
          <w:color w:val="000000"/>
          <w:szCs w:val="28"/>
          <w:lang w:eastAsia="uk-UA"/>
        </w:rPr>
      </w:pPr>
      <w:r>
        <w:rPr>
          <w:color w:val="000000"/>
          <w:szCs w:val="28"/>
          <w:lang w:eastAsia="uk-UA"/>
        </w:rPr>
        <w:t xml:space="preserve">(КПКВК МБ 1014060 КЕКВ 2111 -17200,00 грн., КЕКВ 2120 -3900,00 грн.)</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Вивільнений кошторис направити на </w:t>
      </w:r>
      <w:r>
        <w:rPr>
          <w:color w:val="000000"/>
          <w:szCs w:val="28"/>
          <w:lang w:eastAsia="uk-UA"/>
        </w:rPr>
        <w:t xml:space="preserve">заробітну плату</w:t>
      </w:r>
      <w:r>
        <w:rPr>
          <w:color w:val="000000"/>
          <w:szCs w:val="28"/>
          <w:lang w:eastAsia="uk-UA"/>
        </w:rPr>
        <w:t xml:space="preserve"> з нарахуваннями:</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по апарату управління </w:t>
      </w:r>
      <w:r>
        <w:rPr>
          <w:color w:val="000000"/>
          <w:szCs w:val="28"/>
          <w:lang w:eastAsia="uk-UA"/>
        </w:rPr>
        <w:t xml:space="preserve">для </w:t>
      </w:r>
      <w:r>
        <w:rPr>
          <w:color w:val="000000"/>
          <w:szCs w:val="28"/>
          <w:lang w:eastAsia="uk-UA"/>
        </w:rPr>
        <w:t xml:space="preserve">заробітної плати</w:t>
      </w:r>
      <w:r>
        <w:rPr>
          <w:color w:val="000000"/>
          <w:szCs w:val="28"/>
          <w:lang w:eastAsia="uk-UA"/>
        </w:rPr>
        <w:t xml:space="preserve"> в сумі</w:t>
      </w:r>
      <w:r>
        <w:rPr>
          <w:color w:val="000000"/>
          <w:szCs w:val="28"/>
          <w:lang w:eastAsia="uk-UA"/>
        </w:rPr>
        <w:t xml:space="preserve"> </w:t>
      </w:r>
      <w:r>
        <w:rPr>
          <w:color w:val="000000"/>
          <w:szCs w:val="28"/>
          <w:lang w:eastAsia="uk-UA"/>
        </w:rPr>
        <w:t xml:space="preserve">850</w:t>
      </w:r>
      <w:r>
        <w:rPr>
          <w:color w:val="000000"/>
          <w:szCs w:val="28"/>
          <w:lang w:eastAsia="uk-UA"/>
        </w:rPr>
        <w:t xml:space="preserve">0,00 грн., для </w:t>
      </w:r>
      <w:r>
        <w:rPr>
          <w:color w:val="000000"/>
          <w:szCs w:val="28"/>
          <w:lang w:eastAsia="uk-UA"/>
        </w:rPr>
        <w:t xml:space="preserve">нарахувань на </w:t>
      </w:r>
      <w:r>
        <w:rPr>
          <w:color w:val="000000"/>
          <w:szCs w:val="28"/>
          <w:lang w:eastAsia="uk-UA"/>
        </w:rPr>
        <w:t xml:space="preserve">оплату праці</w:t>
      </w:r>
      <w:r>
        <w:rPr>
          <w:color w:val="000000"/>
          <w:szCs w:val="28"/>
          <w:lang w:eastAsia="uk-UA"/>
        </w:rPr>
        <w:t xml:space="preserve"> </w:t>
      </w:r>
      <w:r>
        <w:rPr>
          <w:color w:val="000000"/>
          <w:szCs w:val="28"/>
          <w:lang w:eastAsia="uk-UA"/>
        </w:rPr>
        <w:t xml:space="preserve">в сумі</w:t>
      </w:r>
      <w:r>
        <w:rPr>
          <w:color w:val="000000"/>
          <w:szCs w:val="28"/>
          <w:lang w:eastAsia="uk-UA"/>
        </w:rPr>
        <w:t xml:space="preserve"> </w:t>
      </w:r>
      <w:r>
        <w:rPr>
          <w:color w:val="000000"/>
          <w:szCs w:val="28"/>
          <w:lang w:eastAsia="uk-UA"/>
        </w:rPr>
        <w:t xml:space="preserve">20</w:t>
      </w:r>
      <w:r>
        <w:rPr>
          <w:color w:val="000000"/>
          <w:szCs w:val="28"/>
          <w:lang w:eastAsia="uk-UA"/>
        </w:rPr>
        <w:t xml:space="preserve">00,00 грн. </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1010160 КЕКВ 2</w:t>
      </w:r>
      <w:r>
        <w:rPr>
          <w:color w:val="000000"/>
          <w:szCs w:val="28"/>
          <w:lang w:eastAsia="uk-UA"/>
        </w:rPr>
        <w:t xml:space="preserve">111</w:t>
      </w:r>
      <w:r>
        <w:rPr>
          <w:color w:val="000000"/>
          <w:szCs w:val="28"/>
          <w:lang w:eastAsia="uk-UA"/>
        </w:rPr>
        <w:t xml:space="preserve"> </w:t>
      </w:r>
      <w:r>
        <w:rPr>
          <w:color w:val="000000"/>
          <w:szCs w:val="28"/>
          <w:lang w:eastAsia="uk-UA"/>
        </w:rPr>
        <w:t xml:space="preserve">+8500,00</w:t>
      </w:r>
      <w:r>
        <w:rPr>
          <w:color w:val="000000"/>
          <w:szCs w:val="28"/>
          <w:lang w:eastAsia="uk-UA"/>
        </w:rPr>
        <w:t xml:space="preserve"> грн., КЕКВ 2</w:t>
      </w:r>
      <w:r>
        <w:rPr>
          <w:color w:val="000000"/>
          <w:szCs w:val="28"/>
          <w:lang w:eastAsia="uk-UA"/>
        </w:rPr>
        <w:t xml:space="preserve">120</w:t>
      </w:r>
      <w:r>
        <w:rPr>
          <w:color w:val="000000"/>
          <w:szCs w:val="28"/>
          <w:lang w:eastAsia="uk-UA"/>
        </w:rPr>
        <w:t xml:space="preserve"> +</w:t>
      </w:r>
      <w:r>
        <w:rPr>
          <w:color w:val="000000"/>
          <w:szCs w:val="28"/>
          <w:lang w:eastAsia="uk-UA"/>
        </w:rPr>
        <w:t xml:space="preserve">20</w:t>
      </w:r>
      <w:r>
        <w:rPr>
          <w:color w:val="000000"/>
          <w:szCs w:val="28"/>
          <w:lang w:eastAsia="uk-UA"/>
        </w:rPr>
        <w:t xml:space="preserve">00</w:t>
      </w:r>
      <w:r>
        <w:rPr>
          <w:color w:val="000000"/>
          <w:szCs w:val="28"/>
          <w:lang w:eastAsia="uk-UA"/>
        </w:rPr>
        <w:t xml:space="preserve">,00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п</w:t>
      </w:r>
      <w:r>
        <w:rPr>
          <w:color w:val="000000"/>
          <w:szCs w:val="28"/>
          <w:lang w:eastAsia="uk-UA"/>
        </w:rPr>
        <w:t xml:space="preserve">о забезпеченню діяльності музеїв і виставок </w:t>
      </w:r>
      <w:r>
        <w:rPr>
          <w:color w:val="000000"/>
          <w:szCs w:val="28"/>
          <w:lang w:eastAsia="uk-UA"/>
        </w:rPr>
        <w:t xml:space="preserve">для </w:t>
      </w:r>
      <w:r>
        <w:rPr>
          <w:color w:val="000000"/>
          <w:szCs w:val="28"/>
          <w:lang w:eastAsia="uk-UA"/>
        </w:rPr>
        <w:t xml:space="preserve">заробітної плати</w:t>
      </w:r>
      <w:r>
        <w:rPr>
          <w:color w:val="000000"/>
          <w:szCs w:val="28"/>
          <w:lang w:eastAsia="uk-UA"/>
        </w:rPr>
        <w:t xml:space="preserve"> в сумі 50</w:t>
      </w:r>
      <w:r>
        <w:rPr>
          <w:color w:val="000000"/>
          <w:szCs w:val="28"/>
          <w:lang w:eastAsia="uk-UA"/>
        </w:rPr>
        <w:t xml:space="preserve">0</w:t>
      </w:r>
      <w:r>
        <w:rPr>
          <w:color w:val="000000"/>
          <w:szCs w:val="28"/>
          <w:lang w:eastAsia="uk-UA"/>
        </w:rPr>
        <w:t xml:space="preserve">,00 грн., </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1014040 КЕКВ 2</w:t>
      </w:r>
      <w:r>
        <w:rPr>
          <w:color w:val="000000"/>
          <w:szCs w:val="28"/>
          <w:lang w:eastAsia="uk-UA"/>
        </w:rPr>
        <w:t xml:space="preserve">111</w:t>
      </w:r>
      <w:r>
        <w:rPr>
          <w:color w:val="000000"/>
          <w:szCs w:val="28"/>
          <w:lang w:eastAsia="uk-UA"/>
        </w:rPr>
        <w:t xml:space="preserve"> </w:t>
      </w:r>
      <w:r>
        <w:rPr>
          <w:color w:val="000000"/>
          <w:szCs w:val="28"/>
          <w:lang w:eastAsia="uk-UA"/>
        </w:rPr>
        <w:t xml:space="preserve">+</w:t>
      </w:r>
      <w:r>
        <w:rPr>
          <w:color w:val="000000"/>
          <w:szCs w:val="28"/>
          <w:lang w:eastAsia="uk-UA"/>
        </w:rPr>
        <w:t xml:space="preserve">5</w:t>
      </w:r>
      <w:r>
        <w:rPr>
          <w:color w:val="000000"/>
          <w:szCs w:val="28"/>
          <w:lang w:eastAsia="uk-UA"/>
        </w:rPr>
        <w:t xml:space="preserve">0</w:t>
      </w:r>
      <w:r>
        <w:rPr>
          <w:color w:val="000000"/>
          <w:szCs w:val="28"/>
          <w:lang w:eastAsia="uk-UA"/>
        </w:rPr>
        <w:t xml:space="preserve">0</w:t>
      </w:r>
      <w:r>
        <w:rPr>
          <w:color w:val="000000"/>
          <w:szCs w:val="28"/>
          <w:lang w:eastAsia="uk-UA"/>
        </w:rPr>
        <w:t xml:space="preserve">,00 грн</w:t>
      </w:r>
      <w:r>
        <w:rPr>
          <w:color w:val="000000"/>
          <w:szCs w:val="28"/>
          <w:lang w:eastAsia="uk-UA"/>
        </w:rPr>
        <w:t xml:space="preserve">.</w:t>
      </w:r>
      <w:r>
        <w:rPr>
          <w:color w:val="000000"/>
          <w:szCs w:val="28"/>
          <w:lang w:eastAsia="uk-UA"/>
        </w:rPr>
        <w:t xml:space="preserve">);</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забезпеченню діяльності інших закладів у галузі культури і мистецтва: </w:t>
      </w:r>
      <w:r>
        <w:rPr>
          <w:color w:val="000000"/>
          <w:szCs w:val="28"/>
          <w:lang w:eastAsia="uk-UA"/>
        </w:rPr>
        <w:t xml:space="preserve">для </w:t>
      </w:r>
      <w:r>
        <w:rPr>
          <w:color w:val="000000"/>
          <w:szCs w:val="28"/>
          <w:lang w:eastAsia="uk-UA"/>
        </w:rPr>
        <w:t xml:space="preserve">заробітної плати</w:t>
      </w:r>
      <w:r>
        <w:rPr>
          <w:color w:val="000000"/>
          <w:szCs w:val="28"/>
          <w:lang w:eastAsia="uk-UA"/>
        </w:rPr>
        <w:t xml:space="preserve"> в сумі 8200</w:t>
      </w:r>
      <w:r>
        <w:rPr>
          <w:color w:val="000000"/>
          <w:szCs w:val="28"/>
          <w:lang w:eastAsia="uk-UA"/>
        </w:rPr>
        <w:t xml:space="preserve">,00 грн. та </w:t>
      </w:r>
      <w:r>
        <w:rPr>
          <w:color w:val="000000"/>
          <w:szCs w:val="28"/>
          <w:lang w:eastAsia="uk-UA"/>
        </w:rPr>
        <w:t xml:space="preserve">для нарахувань на </w:t>
      </w:r>
      <w:r>
        <w:rPr>
          <w:color w:val="000000"/>
          <w:szCs w:val="28"/>
          <w:lang w:eastAsia="uk-UA"/>
        </w:rPr>
        <w:t xml:space="preserve">оплату праці</w:t>
      </w:r>
      <w:r>
        <w:rPr>
          <w:color w:val="000000"/>
          <w:szCs w:val="28"/>
          <w:lang w:eastAsia="uk-UA"/>
        </w:rPr>
        <w:t xml:space="preserve"> в сумі</w:t>
      </w:r>
      <w:r>
        <w:rPr>
          <w:color w:val="000000"/>
          <w:szCs w:val="28"/>
          <w:lang w:eastAsia="uk-UA"/>
        </w:rPr>
        <w:t xml:space="preserve"> </w:t>
      </w:r>
      <w:r>
        <w:rPr>
          <w:color w:val="000000"/>
          <w:szCs w:val="28"/>
          <w:lang w:eastAsia="uk-UA"/>
        </w:rPr>
        <w:t xml:space="preserve">1900</w:t>
      </w:r>
      <w:r>
        <w:rPr>
          <w:color w:val="000000"/>
          <w:szCs w:val="28"/>
          <w:lang w:eastAsia="uk-UA"/>
        </w:rPr>
        <w:t xml:space="preserve">,00 грн.</w:t>
      </w:r>
      <w:r>
        <w:rPr>
          <w:color w:val="000000"/>
          <w:szCs w:val="28"/>
          <w:lang w:eastAsia="uk-UA"/>
        </w:rPr>
        <w:t xml:space="preserve"> </w:t>
      </w:r>
      <w:r>
        <w:rPr>
          <w:color w:val="000000"/>
          <w:szCs w:val="28"/>
          <w:lang w:eastAsia="uk-UA"/>
        </w:rPr>
        <w:t xml:space="preserve">(</w:t>
      </w:r>
      <w:r>
        <w:rPr>
          <w:color w:val="000000"/>
          <w:szCs w:val="28"/>
          <w:lang w:eastAsia="uk-UA"/>
        </w:rPr>
        <w:t xml:space="preserve">оплата праці з нарахуваннями директора новоствореної Комунальної установи «Централізована бухгалтерія з обслуговування закладів культури» Менської міської ради)</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(КПКВК МБ 1014081 КЕКВ 2111 +8200,00 грн., КЕКВ 2120 +1900,00 грн.).</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Внести зміни до </w:t>
      </w:r>
      <w:r>
        <w:rPr>
          <w:color w:val="000000"/>
          <w:szCs w:val="28"/>
          <w:lang w:eastAsia="uk-UA"/>
        </w:rPr>
        <w:t xml:space="preserve">річного розпису видатків загального фонду Відділу культури Менської міської ради в частині видатків на оплату енергоносіїв, а саме: зменшити кошторисні призначення для </w:t>
      </w:r>
      <w:r>
        <w:rPr>
          <w:color w:val="000000"/>
          <w:szCs w:val="28"/>
          <w:lang w:eastAsia="uk-UA"/>
        </w:rPr>
        <w:t xml:space="preserve">електроенергії на суму 8870,00 грн. по забезпеченню діяльності бібліотек та на суму 26730,00 грн. по забезпеченню діяльності палаців і будинків культури, клубів, центрів дозвілля та інших клубних закладів, відповідно збільшити кошторисні призначення для о</w:t>
      </w:r>
      <w:r>
        <w:rPr>
          <w:color w:val="000000"/>
          <w:szCs w:val="28"/>
          <w:lang w:eastAsia="uk-UA"/>
        </w:rPr>
        <w:t xml:space="preserve">плат</w:t>
      </w:r>
      <w:r>
        <w:rPr>
          <w:color w:val="000000"/>
          <w:szCs w:val="28"/>
          <w:lang w:eastAsia="uk-UA"/>
        </w:rPr>
        <w:t xml:space="preserve">и</w:t>
      </w:r>
      <w:r>
        <w:rPr>
          <w:color w:val="000000"/>
          <w:szCs w:val="28"/>
          <w:lang w:eastAsia="uk-UA"/>
        </w:rPr>
        <w:t xml:space="preserve"> інших енергоносіїв та інших комунальних послуг</w:t>
      </w:r>
      <w:r>
        <w:rPr>
          <w:color w:val="000000"/>
          <w:szCs w:val="28"/>
          <w:lang w:eastAsia="uk-UA"/>
        </w:rPr>
        <w:t xml:space="preserve"> на суму 25000,00 грн. </w:t>
      </w:r>
      <w:r>
        <w:rPr>
          <w:color w:val="000000"/>
          <w:szCs w:val="28"/>
          <w:lang w:eastAsia="uk-UA"/>
        </w:rPr>
        <w:t xml:space="preserve">по забезпеченню діяльності бібліотек та на суму 10600,00 грн. по забезпеченню діяльності палаців і будинків культури, клубів, центрів дозвілля та інших клубних закладів</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1014030 КЕКВ 2273 -8870,00 грн., КЕКВ 2275 +25000,00 грн., КПКВК МБ 1014060 КЕКВ 2273 -26730,0 грн., КЕКВ 2275 +10600,00 грн.).</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Внести зміни до </w:t>
      </w:r>
      <w:r>
        <w:rPr>
          <w:color w:val="000000"/>
          <w:szCs w:val="28"/>
          <w:lang w:eastAsia="uk-UA"/>
        </w:rPr>
        <w:t xml:space="preserve">річного розпису </w:t>
      </w:r>
      <w:r>
        <w:rPr>
          <w:color w:val="000000"/>
          <w:szCs w:val="28"/>
          <w:lang w:eastAsia="uk-UA"/>
        </w:rPr>
        <w:t xml:space="preserve">спеціального фонду (бюджету розвитку)</w:t>
      </w:r>
      <w:r>
        <w:rPr>
          <w:color w:val="000000"/>
          <w:szCs w:val="28"/>
          <w:lang w:eastAsia="uk-UA"/>
        </w:rPr>
        <w:t xml:space="preserve"> Відділу освіти Менської міської ради: </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зменшити кошторисні призначення </w:t>
      </w:r>
      <w:r>
        <w:rPr>
          <w:color w:val="000000"/>
          <w:szCs w:val="28"/>
          <w:lang w:eastAsia="uk-UA"/>
        </w:rPr>
        <w:t xml:space="preserve">по </w:t>
      </w:r>
      <w:r>
        <w:rPr>
          <w:color w:val="000000"/>
          <w:szCs w:val="28"/>
          <w:lang w:eastAsia="uk-UA"/>
        </w:rPr>
        <w:t xml:space="preserve">співфінансуванню</w:t>
      </w:r>
      <w:r>
        <w:rPr>
          <w:color w:val="000000"/>
          <w:szCs w:val="28"/>
          <w:lang w:eastAsia="uk-UA"/>
        </w:rPr>
        <w:t xml:space="preserve"> заходів, що</w:t>
      </w:r>
      <w:r>
        <w:rPr>
          <w:color w:val="000000"/>
          <w:szCs w:val="28"/>
          <w:lang w:eastAsia="uk-UA"/>
        </w:rPr>
        <w:t xml:space="preserve"> реалізуються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w:t>
      </w:r>
      <w:r>
        <w:rPr>
          <w:color w:val="000000"/>
          <w:szCs w:val="28"/>
          <w:lang w:eastAsia="uk-UA"/>
        </w:rPr>
        <w:t xml:space="preserve"> для прид</w:t>
      </w:r>
      <w:r>
        <w:rPr>
          <w:color w:val="000000"/>
          <w:szCs w:val="28"/>
          <w:lang w:eastAsia="uk-UA"/>
        </w:rPr>
        <w:t xml:space="preserve">бання обладнання і предметів довгострокового користування</w:t>
      </w:r>
      <w:r>
        <w:rPr>
          <w:color w:val="000000"/>
          <w:szCs w:val="28"/>
          <w:lang w:eastAsia="uk-UA"/>
        </w:rPr>
        <w:t xml:space="preserve"> на суму 22694,00 грн.</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(КПКВК МБ 0611291 КЕКВ 3110 -22694,00);</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збільшити кошторисні призначення по н</w:t>
      </w:r>
      <w:r>
        <w:rPr>
          <w:color w:val="000000"/>
          <w:szCs w:val="28"/>
          <w:lang w:eastAsia="uk-UA"/>
        </w:rPr>
        <w:t xml:space="preserve">аданн</w:t>
      </w:r>
      <w:r>
        <w:rPr>
          <w:color w:val="000000"/>
          <w:szCs w:val="28"/>
          <w:lang w:eastAsia="uk-UA"/>
        </w:rPr>
        <w:t xml:space="preserve">ю</w:t>
      </w:r>
      <w:r>
        <w:rPr>
          <w:color w:val="000000"/>
          <w:szCs w:val="28"/>
          <w:lang w:eastAsia="uk-UA"/>
        </w:rPr>
        <w:t xml:space="preserve"> позашкільної освіти закладами позашкільної освіти, заход</w:t>
      </w:r>
      <w:r>
        <w:rPr>
          <w:color w:val="000000"/>
          <w:szCs w:val="28"/>
          <w:lang w:eastAsia="uk-UA"/>
        </w:rPr>
        <w:t xml:space="preserve">ів</w:t>
      </w:r>
      <w:r>
        <w:rPr>
          <w:color w:val="000000"/>
          <w:szCs w:val="28"/>
          <w:lang w:eastAsia="uk-UA"/>
        </w:rPr>
        <w:t xml:space="preserve"> із позашкільної роботи з дітьми</w:t>
      </w:r>
      <w:r>
        <w:rPr>
          <w:color w:val="000000"/>
          <w:szCs w:val="28"/>
          <w:lang w:eastAsia="uk-UA"/>
        </w:rPr>
        <w:t xml:space="preserve"> для р</w:t>
      </w:r>
      <w:r>
        <w:rPr>
          <w:color w:val="000000"/>
          <w:szCs w:val="28"/>
          <w:lang w:eastAsia="uk-UA"/>
        </w:rPr>
        <w:t xml:space="preserve">еконструкці</w:t>
      </w:r>
      <w:r>
        <w:rPr>
          <w:color w:val="000000"/>
          <w:szCs w:val="28"/>
          <w:lang w:eastAsia="uk-UA"/>
        </w:rPr>
        <w:t xml:space="preserve">ї</w:t>
      </w:r>
      <w:r>
        <w:rPr>
          <w:color w:val="000000"/>
          <w:szCs w:val="28"/>
          <w:lang w:eastAsia="uk-UA"/>
        </w:rPr>
        <w:t xml:space="preserve"> та реставраці</w:t>
      </w:r>
      <w:r>
        <w:rPr>
          <w:color w:val="000000"/>
          <w:szCs w:val="28"/>
          <w:lang w:eastAsia="uk-UA"/>
        </w:rPr>
        <w:t xml:space="preserve">ї</w:t>
      </w:r>
      <w:r>
        <w:rPr>
          <w:color w:val="000000"/>
          <w:szCs w:val="28"/>
          <w:lang w:eastAsia="uk-UA"/>
        </w:rPr>
        <w:t xml:space="preserve"> інших об`єктів</w:t>
      </w:r>
      <w:r>
        <w:rPr>
          <w:color w:val="000000"/>
          <w:szCs w:val="28"/>
          <w:lang w:eastAsia="uk-UA"/>
        </w:rPr>
        <w:t xml:space="preserve"> на суму 11347,00 грн. (оплата за видачу технічних умов на реконструкцію системи газопостачання та розробки </w:t>
      </w:r>
      <w:r>
        <w:rPr>
          <w:color w:val="000000"/>
          <w:szCs w:val="28"/>
          <w:lang w:eastAsia="uk-UA"/>
        </w:rPr>
        <w:t xml:space="preserve">проктно</w:t>
      </w:r>
      <w:r>
        <w:rPr>
          <w:color w:val="000000"/>
          <w:szCs w:val="28"/>
          <w:lang w:eastAsia="uk-UA"/>
        </w:rPr>
        <w:t xml:space="preserve">-</w:t>
      </w:r>
      <w:r>
        <w:rPr>
          <w:color w:val="000000"/>
          <w:szCs w:val="28"/>
          <w:lang w:eastAsia="uk-UA"/>
        </w:rPr>
        <w:t xml:space="preserve">кошторисної</w:t>
      </w:r>
      <w:r>
        <w:rPr>
          <w:color w:val="000000"/>
          <w:szCs w:val="28"/>
          <w:lang w:eastAsia="uk-UA"/>
        </w:rPr>
        <w:t xml:space="preserve"> документації на реконстр</w:t>
      </w:r>
      <w:r>
        <w:rPr>
          <w:color w:val="000000"/>
          <w:szCs w:val="28"/>
          <w:lang w:eastAsia="uk-UA"/>
        </w:rPr>
        <w:t xml:space="preserve">укцію системи газопостачання </w:t>
      </w:r>
      <w:r>
        <w:rPr>
          <w:color w:val="000000"/>
          <w:szCs w:val="28"/>
          <w:lang w:eastAsia="uk-UA"/>
        </w:rPr>
        <w:t xml:space="preserve">м.М</w:t>
      </w:r>
      <w:r>
        <w:rPr>
          <w:color w:val="000000"/>
          <w:szCs w:val="28"/>
          <w:lang w:eastAsia="uk-UA"/>
        </w:rPr>
        <w:t xml:space="preserve">ена</w:t>
      </w:r>
      <w:r>
        <w:rPr>
          <w:color w:val="000000"/>
          <w:szCs w:val="28"/>
          <w:lang w:eastAsia="uk-UA"/>
        </w:rPr>
        <w:t xml:space="preserve">, </w:t>
      </w:r>
      <w:r>
        <w:rPr>
          <w:color w:val="000000"/>
          <w:szCs w:val="28"/>
          <w:lang w:eastAsia="uk-UA"/>
        </w:rPr>
        <w:t xml:space="preserve">вул..Семашка</w:t>
      </w:r>
      <w:r>
        <w:rPr>
          <w:color w:val="000000"/>
          <w:szCs w:val="28"/>
          <w:lang w:eastAsia="uk-UA"/>
        </w:rPr>
        <w:t xml:space="preserve">, буд.1А по комунальному закладу позашкільної освіти Менський центр дитячої та юнацької творчості Менської міської ради)</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(КПКВК МБ 0611070 КЕКВ 3142 +11347,00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збільшити кошторисні призначення по н</w:t>
      </w:r>
      <w:r>
        <w:rPr>
          <w:color w:val="000000"/>
          <w:szCs w:val="28"/>
          <w:lang w:eastAsia="uk-UA"/>
        </w:rPr>
        <w:t xml:space="preserve">аданн</w:t>
      </w:r>
      <w:r>
        <w:rPr>
          <w:color w:val="000000"/>
          <w:szCs w:val="28"/>
          <w:lang w:eastAsia="uk-UA"/>
        </w:rPr>
        <w:t xml:space="preserve">ю</w:t>
      </w:r>
      <w:r>
        <w:rPr>
          <w:color w:val="000000"/>
          <w:szCs w:val="28"/>
          <w:lang w:eastAsia="uk-UA"/>
        </w:rPr>
        <w:t xml:space="preserve"> спеціалізованої освіти мистецькими школам</w:t>
      </w:r>
      <w:r>
        <w:rPr>
          <w:color w:val="000000"/>
          <w:szCs w:val="28"/>
          <w:lang w:eastAsia="uk-UA"/>
        </w:rPr>
        <w:t xml:space="preserve">и для р</w:t>
      </w:r>
      <w:r>
        <w:rPr>
          <w:color w:val="000000"/>
          <w:szCs w:val="28"/>
          <w:lang w:eastAsia="uk-UA"/>
        </w:rPr>
        <w:t xml:space="preserve">еконструкці</w:t>
      </w:r>
      <w:r>
        <w:rPr>
          <w:color w:val="000000"/>
          <w:szCs w:val="28"/>
          <w:lang w:eastAsia="uk-UA"/>
        </w:rPr>
        <w:t xml:space="preserve">ї</w:t>
      </w:r>
      <w:r>
        <w:rPr>
          <w:color w:val="000000"/>
          <w:szCs w:val="28"/>
          <w:lang w:eastAsia="uk-UA"/>
        </w:rPr>
        <w:t xml:space="preserve"> та реставраці</w:t>
      </w:r>
      <w:r>
        <w:rPr>
          <w:color w:val="000000"/>
          <w:szCs w:val="28"/>
          <w:lang w:eastAsia="uk-UA"/>
        </w:rPr>
        <w:t xml:space="preserve">ї</w:t>
      </w:r>
      <w:r>
        <w:rPr>
          <w:color w:val="000000"/>
          <w:szCs w:val="28"/>
          <w:lang w:eastAsia="uk-UA"/>
        </w:rPr>
        <w:t xml:space="preserve"> інших об`єктів</w:t>
      </w:r>
      <w:r>
        <w:rPr>
          <w:color w:val="000000"/>
          <w:szCs w:val="28"/>
          <w:lang w:eastAsia="uk-UA"/>
        </w:rPr>
        <w:t xml:space="preserve"> на суму 11347,00 грн. (необхідність розробки </w:t>
      </w:r>
      <w:r>
        <w:rPr>
          <w:color w:val="000000"/>
          <w:szCs w:val="28"/>
          <w:lang w:eastAsia="uk-UA"/>
        </w:rPr>
        <w:t xml:space="preserve">проктно-кошторисної</w:t>
      </w:r>
      <w:r>
        <w:rPr>
          <w:color w:val="000000"/>
          <w:szCs w:val="28"/>
          <w:lang w:eastAsia="uk-UA"/>
        </w:rPr>
        <w:t xml:space="preserve"> документації на реконструкцію системи газопостачання </w:t>
      </w:r>
      <w:r>
        <w:rPr>
          <w:color w:val="000000"/>
          <w:szCs w:val="28"/>
          <w:lang w:eastAsia="uk-UA"/>
        </w:rPr>
        <w:t xml:space="preserve">м.Мена</w:t>
      </w:r>
      <w:r>
        <w:rPr>
          <w:color w:val="000000"/>
          <w:szCs w:val="28"/>
          <w:lang w:eastAsia="uk-UA"/>
        </w:rPr>
        <w:t xml:space="preserve">, вул. Героїв АТО, буд.14 по комунальному закладу «Менська дитяча мистецька школа» Менської міської ради)</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(КПКВК МБ 061108</w:t>
      </w:r>
      <w:r>
        <w:rPr>
          <w:color w:val="000000"/>
          <w:szCs w:val="28"/>
          <w:lang w:eastAsia="uk-UA"/>
        </w:rPr>
        <w:t xml:space="preserve">0 КЕКВ 3142 +11347,00 грн.).</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Внести зміни до річного та помісячного розписів загального фонду Відділу освіти Менської міської ради:</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апарату управління зменшити кошторисні призначення для оплати теплопостачан</w:t>
      </w:r>
      <w:r>
        <w:rPr>
          <w:color w:val="000000"/>
          <w:szCs w:val="28"/>
          <w:lang w:eastAsia="uk-UA"/>
        </w:rPr>
        <w:t xml:space="preserve">ня на суму 2000,00 грн., для оплати інших енергоносіїв та інших комунальних послуг на суму 273,00 грн. відповідно збільшити кошторисні призначення для оплати послуг (крім комунальних) на суму 273,00 грн. та для оплати за електроенергію на суму 2000,00 грн.</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0610160 КЕКВ 2271 -2000,00 грн., КЕКВ 2275 -273,00 грн., КЕКВ 2240 +273,00 грн., КЕКВ 2273 +2000,00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н</w:t>
      </w:r>
      <w:r>
        <w:rPr>
          <w:color w:val="000000"/>
          <w:szCs w:val="28"/>
          <w:lang w:eastAsia="uk-UA"/>
        </w:rPr>
        <w:t xml:space="preserve">аданн</w:t>
      </w:r>
      <w:r>
        <w:rPr>
          <w:color w:val="000000"/>
          <w:szCs w:val="28"/>
          <w:lang w:eastAsia="uk-UA"/>
        </w:rPr>
        <w:t xml:space="preserve">ю</w:t>
      </w:r>
      <w:r>
        <w:rPr>
          <w:color w:val="000000"/>
          <w:szCs w:val="28"/>
          <w:lang w:eastAsia="uk-UA"/>
        </w:rPr>
        <w:t xml:space="preserve"> дошкільної освіти</w:t>
      </w:r>
      <w:r>
        <w:rPr>
          <w:color w:val="000000"/>
          <w:szCs w:val="28"/>
          <w:lang w:eastAsia="uk-UA"/>
        </w:rPr>
        <w:t xml:space="preserve"> зменшити кошторисні призначення для оплати за теплопостачання на суму 50000,00 грн., </w:t>
      </w:r>
      <w:r>
        <w:rPr>
          <w:color w:val="000000"/>
          <w:szCs w:val="28"/>
          <w:lang w:eastAsia="uk-UA"/>
        </w:rPr>
        <w:t xml:space="preserve">для оплати за природний газ на суму 455</w:t>
      </w:r>
      <w:r>
        <w:rPr>
          <w:color w:val="000000"/>
          <w:szCs w:val="28"/>
          <w:lang w:eastAsia="uk-UA"/>
        </w:rPr>
        <w:t xml:space="preserve">00,00 грн., відповідно збільшити кошторисні призначення для придбання предметів, матеріалів, обладнання та інвентарю на суму 4500,00 грн., для оплати за продукти харчування на суму 50000,00 грн., для оплати послуг (крім комунальних) на суму 41000,00 грн. (</w:t>
      </w:r>
      <w:r>
        <w:rPr>
          <w:color w:val="000000"/>
          <w:szCs w:val="28"/>
          <w:lang w:eastAsia="uk-UA"/>
        </w:rPr>
        <w:t xml:space="preserve">Менський ЗДО «Сонечко», </w:t>
      </w:r>
      <w:r>
        <w:rPr>
          <w:color w:val="000000"/>
          <w:szCs w:val="28"/>
          <w:lang w:eastAsia="uk-UA"/>
        </w:rPr>
        <w:t xml:space="preserve">Киселівський</w:t>
      </w:r>
      <w:r>
        <w:rPr>
          <w:color w:val="000000"/>
          <w:szCs w:val="28"/>
          <w:lang w:eastAsia="uk-UA"/>
        </w:rPr>
        <w:t xml:space="preserve"> ЗДО «Веселка»)</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0611010 КЕКВ 2271 -50000,00 грн., КЕКВ 2274 -45500,00 грн., КЕКВ 2210 +4500,00 грн., КЕКВ 2230 +50000,00 грн., КЕКВ 2240 +41000,00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н</w:t>
      </w:r>
      <w:r>
        <w:rPr>
          <w:color w:val="000000"/>
          <w:szCs w:val="28"/>
          <w:lang w:eastAsia="uk-UA"/>
        </w:rPr>
        <w:t xml:space="preserve">аданн</w:t>
      </w:r>
      <w:r>
        <w:rPr>
          <w:color w:val="000000"/>
          <w:szCs w:val="28"/>
          <w:lang w:eastAsia="uk-UA"/>
        </w:rPr>
        <w:t xml:space="preserve">ю</w:t>
      </w:r>
      <w:r>
        <w:rPr>
          <w:color w:val="000000"/>
          <w:szCs w:val="28"/>
          <w:lang w:eastAsia="uk-UA"/>
        </w:rPr>
        <w:t xml:space="preserve"> загальної середньої освіти закладами загальної середньої освіти за рахунок коштів місцевого бюджету</w:t>
      </w:r>
      <w:r>
        <w:rPr>
          <w:color w:val="000000"/>
          <w:szCs w:val="28"/>
          <w:lang w:eastAsia="uk-UA"/>
        </w:rPr>
        <w:t xml:space="preserve"> зменшити кошторисні призначення для придбання предметів. матеріалів. обладнання та інвентарю на суму 7800,00 грн., для оплати за продукти харчування на суму 160000,00 грн., для оплати послуг (крім комунальних</w:t>
      </w:r>
      <w:r>
        <w:rPr>
          <w:color w:val="000000"/>
          <w:szCs w:val="28"/>
          <w:lang w:eastAsia="uk-UA"/>
        </w:rPr>
        <w:t xml:space="preserve">) на суму 1500,00 грн., для оплати за теплопостачання на суму 20000,00 грн., для оплати за водопостачання та водовідведення на суму 15090,00 грн., для оплати за інші енергоносії та інші комунальні послуги на суму 13479,00 грн., для інших поточних видатків </w:t>
      </w:r>
      <w:r>
        <w:rPr>
          <w:color w:val="000000"/>
          <w:szCs w:val="28"/>
          <w:lang w:eastAsia="uk-UA"/>
        </w:rPr>
        <w:t xml:space="preserve">на суму 2000,00 грн., відповідно збільшити кошторисні призначення для придбання предметів та матеріалів на суму 201269,00 грн., для оплати за електроенергію на суму 18600,00 грн. (</w:t>
      </w:r>
      <w:r>
        <w:rPr>
          <w:color w:val="000000"/>
          <w:szCs w:val="28"/>
          <w:lang w:eastAsia="uk-UA"/>
        </w:rPr>
        <w:t xml:space="preserve">Синявській</w:t>
      </w:r>
      <w:r>
        <w:rPr>
          <w:color w:val="000000"/>
          <w:szCs w:val="28"/>
          <w:lang w:eastAsia="uk-UA"/>
        </w:rPr>
        <w:t xml:space="preserve"> , </w:t>
      </w:r>
      <w:r>
        <w:rPr>
          <w:color w:val="000000"/>
          <w:szCs w:val="28"/>
          <w:lang w:eastAsia="uk-UA"/>
        </w:rPr>
        <w:t xml:space="preserve">Дягівський</w:t>
      </w:r>
      <w:r>
        <w:rPr>
          <w:color w:val="000000"/>
          <w:szCs w:val="28"/>
          <w:lang w:eastAsia="uk-UA"/>
        </w:rPr>
        <w:t xml:space="preserve"> ЗЗСО І-ІІІ ст.. </w:t>
      </w:r>
      <w:r>
        <w:rPr>
          <w:color w:val="000000"/>
          <w:szCs w:val="28"/>
          <w:lang w:eastAsia="uk-UA"/>
        </w:rPr>
        <w:t xml:space="preserve">Феськівська</w:t>
      </w:r>
      <w:r>
        <w:rPr>
          <w:color w:val="000000"/>
          <w:szCs w:val="28"/>
          <w:lang w:eastAsia="uk-UA"/>
        </w:rPr>
        <w:t xml:space="preserve"> гімназія, Менський опорний ЗЗСО І-ІІІ ст.. </w:t>
      </w:r>
      <w:r>
        <w:rPr>
          <w:color w:val="000000"/>
          <w:szCs w:val="28"/>
          <w:lang w:eastAsia="uk-UA"/>
        </w:rPr>
        <w:t xml:space="preserve">ім.Т.Г.Шевченка</w:t>
      </w:r>
      <w:r>
        <w:rPr>
          <w:color w:val="000000"/>
          <w:szCs w:val="28"/>
          <w:lang w:eastAsia="uk-UA"/>
        </w:rPr>
        <w:t xml:space="preserve"> Менської міської ради)</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0611021 КЕКВ 2230 -160000,00 грн., КЕКВ 2240 -1500,00 грн., КЕКВ 2271 -20000,00 грн., КЕКВ 2272 -15090,00 грн., КЕКВ 2275 -13479,00 грн., КЕКВ </w:t>
      </w:r>
      <w:r>
        <w:rPr>
          <w:color w:val="000000"/>
          <w:szCs w:val="28"/>
          <w:lang w:eastAsia="uk-UA"/>
        </w:rPr>
        <w:t xml:space="preserve">2800 -2000,00 грн., КЕКВ 2210 +193469</w:t>
      </w:r>
      <w:r>
        <w:rPr>
          <w:color w:val="000000"/>
          <w:szCs w:val="28"/>
          <w:lang w:eastAsia="uk-UA"/>
        </w:rPr>
        <w:t xml:space="preserve">,00 </w:t>
      </w:r>
      <w:r>
        <w:rPr>
          <w:color w:val="000000"/>
          <w:szCs w:val="28"/>
          <w:lang w:eastAsia="uk-UA"/>
        </w:rPr>
        <w:t xml:space="preserve">грн., КЕКВ 2273 +18600,00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з</w:t>
      </w:r>
      <w:r>
        <w:rPr>
          <w:color w:val="000000"/>
          <w:szCs w:val="28"/>
          <w:lang w:eastAsia="uk-UA"/>
        </w:rPr>
        <w:t xml:space="preserve">абезпеченн</w:t>
      </w:r>
      <w:r>
        <w:rPr>
          <w:color w:val="000000"/>
          <w:szCs w:val="28"/>
          <w:lang w:eastAsia="uk-UA"/>
        </w:rPr>
        <w:t xml:space="preserve">ю</w:t>
      </w:r>
      <w:r>
        <w:rPr>
          <w:color w:val="000000"/>
          <w:szCs w:val="28"/>
          <w:lang w:eastAsia="uk-UA"/>
        </w:rPr>
        <w:t xml:space="preserve"> діяльності інших закладів у сфері освіти</w:t>
      </w:r>
      <w:r>
        <w:rPr>
          <w:color w:val="000000"/>
          <w:szCs w:val="28"/>
          <w:lang w:eastAsia="uk-UA"/>
        </w:rPr>
        <w:t xml:space="preserve"> зменшити кошторисні призначення для оплати теплопостачання на суму 4000,00 грн., відповідно збільшити кошторисні призначення на таку ж суму для оплати за електроенергію (КУ «ЦООУЗО»)</w:t>
      </w:r>
      <w:r>
        <w:rPr>
          <w:color w:val="000000"/>
          <w:szCs w:val="28"/>
          <w:lang w:eastAsia="uk-UA"/>
        </w:rPr>
      </w:r>
      <w:r>
        <w:rPr>
          <w:color w:val="000000"/>
          <w:szCs w:val="28"/>
          <w:lang w:eastAsia="uk-UA"/>
        </w:rPr>
      </w:r>
    </w:p>
    <w:p>
      <w:pPr>
        <w:pBdr>
          <w:left w:val="none" w:color="000000" w:sz="4" w:space="1"/>
          <w:between w:val="none" w:color="000000" w:sz="4" w:space="0"/>
        </w:pBdr>
        <w:tabs>
          <w:tab w:val="clear" w:leader="none" w:pos="1134"/>
        </w:tabs>
        <w:spacing w:line="253" w:lineRule="atLeast"/>
        <w:ind w:firstLine="0"/>
        <w:rPr>
          <w:color w:val="000000"/>
          <w:szCs w:val="28"/>
          <w:lang w:eastAsia="uk-UA"/>
        </w:rPr>
      </w:pPr>
      <w:r>
        <w:rPr>
          <w:color w:val="000000"/>
          <w:szCs w:val="28"/>
          <w:lang w:eastAsia="uk-UA"/>
        </w:rPr>
        <w:t xml:space="preserve">(КПКВК МБ 0611141 КЕКВ 2271 -4000,00 грн., КЕКВ 2273 +4000,00 грн.);</w:t>
      </w:r>
      <w:r>
        <w:rPr>
          <w:color w:val="000000"/>
          <w:szCs w:val="28"/>
          <w:lang w:eastAsia="uk-UA"/>
        </w:rPr>
      </w:r>
      <w:r>
        <w:rPr>
          <w:color w:val="000000"/>
          <w:szCs w:val="28"/>
          <w:lang w:eastAsia="uk-UA"/>
        </w:rPr>
      </w:r>
    </w:p>
    <w:p>
      <w:pPr>
        <w:pStyle w:val="905"/>
        <w:numPr>
          <w:ilvl w:val="0"/>
          <w:numId w:val="19"/>
        </w:numPr>
        <w:pBdr>
          <w:left w:val="none" w:color="000000" w:sz="4" w:space="1"/>
          <w:between w:val="none" w:color="000000" w:sz="4" w:space="0"/>
        </w:pBdr>
        <w:tabs>
          <w:tab w:val="clear" w:leader="none" w:pos="1134"/>
        </w:tabs>
        <w:spacing w:line="253" w:lineRule="atLeast"/>
        <w:ind w:firstLine="567" w:left="0"/>
        <w:rPr>
          <w:color w:val="000000"/>
          <w:szCs w:val="28"/>
          <w:lang w:eastAsia="uk-UA"/>
        </w:rPr>
      </w:pPr>
      <w:r>
        <w:rPr>
          <w:color w:val="000000"/>
          <w:szCs w:val="28"/>
          <w:lang w:eastAsia="uk-UA"/>
        </w:rPr>
        <w:t xml:space="preserve">по забезпеченню</w:t>
      </w:r>
      <w:r>
        <w:rPr>
          <w:color w:val="000000"/>
          <w:szCs w:val="28"/>
          <w:lang w:eastAsia="uk-UA"/>
        </w:rPr>
        <w:t xml:space="preserve"> діяльності центрів професійного розвитку педагогічних працівників</w:t>
      </w:r>
      <w:r>
        <w:rPr>
          <w:color w:val="000000"/>
          <w:szCs w:val="28"/>
          <w:lang w:eastAsia="uk-UA"/>
        </w:rPr>
        <w:t xml:space="preserve"> зменшити кошторисні призначення для оплати за природний газ на суму </w:t>
      </w:r>
      <w:r>
        <w:rPr>
          <w:color w:val="000000"/>
          <w:szCs w:val="28"/>
          <w:lang w:eastAsia="uk-UA"/>
        </w:rPr>
        <w:t xml:space="preserve">7</w:t>
      </w:r>
      <w:r>
        <w:rPr>
          <w:color w:val="000000"/>
          <w:szCs w:val="28"/>
          <w:lang w:eastAsia="uk-UA"/>
        </w:rPr>
        <w:t xml:space="preserve">000,00 грн., відповідно збільшити кошторисні приз</w:t>
      </w:r>
      <w:r>
        <w:rPr>
          <w:color w:val="000000"/>
          <w:szCs w:val="28"/>
          <w:lang w:eastAsia="uk-UA"/>
        </w:rPr>
        <w:t xml:space="preserve">начення для оплати за теплопостачання на суму 4000,00 грн., для оплати за водопостачання та водовідведення на суму 300,00 грн., для оплати за електроенергію на суму 1500,00 грн., для оплати за інші енергоносії та інші комунальні послуги на суму 200,00 грн.</w:t>
      </w:r>
      <w:r>
        <w:rPr>
          <w:color w:val="000000"/>
          <w:szCs w:val="28"/>
          <w:lang w:eastAsia="uk-UA"/>
        </w:rPr>
        <w:t xml:space="preserve">,для придбання предметів, матеріалів, обладнання та інвентарю на суму 1000,00 грн.</w:t>
      </w:r>
      <w:r>
        <w:rPr>
          <w:color w:val="000000"/>
          <w:szCs w:val="28"/>
          <w:lang w:eastAsia="uk-UA"/>
        </w:rPr>
      </w:r>
      <w:r>
        <w:rPr>
          <w:color w:val="000000"/>
          <w:szCs w:val="28"/>
          <w:lang w:eastAsia="uk-UA"/>
        </w:rPr>
      </w:r>
    </w:p>
    <w:p>
      <w:pPr>
        <w:pStyle w:val="905"/>
        <w:pBdr>
          <w:left w:val="none" w:color="000000" w:sz="4" w:space="1"/>
          <w:between w:val="none" w:color="000000" w:sz="4" w:space="0"/>
        </w:pBdr>
        <w:tabs>
          <w:tab w:val="clear" w:leader="none" w:pos="1134"/>
        </w:tabs>
        <w:spacing w:line="253" w:lineRule="atLeast"/>
        <w:ind w:firstLine="0" w:left="0"/>
        <w:rPr>
          <w:color w:val="000000"/>
          <w:szCs w:val="28"/>
          <w:lang w:eastAsia="uk-UA"/>
        </w:rPr>
      </w:pPr>
      <w:r>
        <w:rPr>
          <w:color w:val="000000"/>
          <w:szCs w:val="28"/>
          <w:lang w:eastAsia="uk-UA"/>
        </w:rPr>
        <w:t xml:space="preserve">(КПКВК МБ 0611160 КЕКВ 2274 -</w:t>
      </w:r>
      <w:r>
        <w:rPr>
          <w:color w:val="000000"/>
          <w:szCs w:val="28"/>
          <w:lang w:eastAsia="uk-UA"/>
        </w:rPr>
        <w:t xml:space="preserve">7</w:t>
      </w:r>
      <w:r>
        <w:rPr>
          <w:color w:val="000000"/>
          <w:szCs w:val="28"/>
          <w:lang w:eastAsia="uk-UA"/>
        </w:rPr>
        <w:t xml:space="preserve">000,00 грн., КЕКВ 2271 +4000,00 грн., КЕКВ 2272 +300,00 грн., КЕКВ 2273 +1500,00 грн., КЕКВ 2275 +200,00 грн.</w:t>
      </w:r>
      <w:r>
        <w:rPr>
          <w:color w:val="000000"/>
          <w:szCs w:val="28"/>
          <w:lang w:eastAsia="uk-UA"/>
        </w:rPr>
        <w:t xml:space="preserve">, КЕКВ 2210 +1000,00 грн.</w:t>
      </w:r>
      <w:r>
        <w:rPr>
          <w:color w:val="000000"/>
          <w:szCs w:val="28"/>
          <w:lang w:eastAsia="uk-UA"/>
        </w:rPr>
        <w:t xml:space="preserve">).</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Внести зміни до видатків загального фонду Відділу соціального захисту населення та охорони здоров’я Менської міської ради</w:t>
      </w:r>
      <w:r>
        <w:rPr>
          <w:color w:val="000000"/>
          <w:szCs w:val="28"/>
          <w:lang w:eastAsia="uk-UA"/>
        </w:rPr>
        <w:t xml:space="preserve"> по Комплексній програмі розвитку та фінансової підтримки закладів охорони здоров’я, що надають медичну допомогу на території Менської міської ТГ на 2022-2024 роки», а саме внести зміни до плану використання бюджетних коштів КНП «Менська  міська лікарня»: </w:t>
      </w:r>
      <w:r>
        <w:rPr>
          <w:color w:val="000000"/>
          <w:szCs w:val="28"/>
          <w:lang w:eastAsia="uk-UA"/>
        </w:rPr>
        <w:t xml:space="preserve">зменшити кошторисні призначення для оплати </w:t>
      </w:r>
      <w:r>
        <w:rPr>
          <w:color w:val="000000"/>
          <w:szCs w:val="28"/>
          <w:lang w:eastAsia="uk-UA"/>
        </w:rPr>
        <w:t xml:space="preserve">за теплопостачання</w:t>
      </w:r>
      <w:r>
        <w:rPr>
          <w:color w:val="000000"/>
          <w:szCs w:val="28"/>
          <w:lang w:eastAsia="uk-UA"/>
        </w:rPr>
        <w:t xml:space="preserve"> на суму </w:t>
      </w:r>
      <w:r>
        <w:rPr>
          <w:color w:val="000000"/>
          <w:szCs w:val="28"/>
          <w:lang w:eastAsia="uk-UA"/>
        </w:rPr>
        <w:t xml:space="preserve">38275</w:t>
      </w:r>
      <w:r>
        <w:rPr>
          <w:color w:val="000000"/>
          <w:szCs w:val="28"/>
          <w:lang w:eastAsia="uk-UA"/>
        </w:rPr>
        <w:t xml:space="preserve">,00 грн., відповідно збільшити кошторисні призначення для оплати </w:t>
      </w:r>
      <w:r>
        <w:rPr>
          <w:color w:val="000000"/>
          <w:szCs w:val="28"/>
          <w:lang w:eastAsia="uk-UA"/>
        </w:rPr>
        <w:t xml:space="preserve">продуктів харчування на таку ж суму</w:t>
      </w:r>
      <w:r>
        <w:rPr>
          <w:szCs w:val="28"/>
        </w:rPr>
      </w:r>
      <w:r>
        <w:rPr>
          <w:szCs w:val="28"/>
        </w:rPr>
      </w:r>
    </w:p>
    <w:p>
      <w:pPr>
        <w:pBdr>
          <w:left w:val="none" w:color="000000" w:sz="4" w:space="1"/>
          <w:between w:val="none" w:color="000000" w:sz="4" w:space="0"/>
        </w:pBdr>
        <w:tabs>
          <w:tab w:val="left" w:leader="none" w:pos="0"/>
          <w:tab w:val="clear" w:leader="none" w:pos="1134"/>
        </w:tabs>
        <w:spacing w:line="253" w:lineRule="atLeast"/>
        <w:ind w:firstLine="0"/>
        <w:rPr>
          <w:color w:val="000000"/>
          <w:szCs w:val="28"/>
          <w:lang w:eastAsia="uk-UA"/>
        </w:rPr>
      </w:pPr>
      <w:r>
        <w:rPr>
          <w:color w:val="000000"/>
          <w:szCs w:val="28"/>
          <w:lang w:eastAsia="uk-UA"/>
        </w:rPr>
        <w:t xml:space="preserve">(КПКВК МБ 0812010 КЕКВ 2610).</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color w:val="000000"/>
          <w:szCs w:val="28"/>
          <w:lang w:eastAsia="uk-UA"/>
        </w:rPr>
      </w:pPr>
      <w:r>
        <w:rPr>
          <w:color w:val="000000"/>
          <w:szCs w:val="28"/>
          <w:lang w:eastAsia="uk-UA"/>
        </w:rPr>
        <w:t xml:space="preserve">Внести зміни до річного розпису видатків загального фонду по Відділу</w:t>
      </w:r>
      <w:r>
        <w:rPr>
          <w:color w:val="000000"/>
          <w:szCs w:val="28"/>
          <w:lang w:eastAsia="uk-UA"/>
        </w:rPr>
        <w:t xml:space="preserve"> </w:t>
      </w:r>
      <w:r>
        <w:rPr>
          <w:color w:val="000000"/>
          <w:szCs w:val="28"/>
          <w:lang w:eastAsia="uk-UA"/>
        </w:rPr>
        <w:t xml:space="preserve">соціального захисту населення та охорони здоров’я Менської міської </w:t>
      </w:r>
      <w:r>
        <w:rPr>
          <w:color w:val="000000"/>
          <w:szCs w:val="28"/>
          <w:lang w:eastAsia="uk-UA"/>
        </w:rPr>
        <w:t xml:space="preserve">ради</w:t>
      </w:r>
      <w:r>
        <w:rPr>
          <w:color w:val="000000"/>
          <w:szCs w:val="28"/>
          <w:lang w:eastAsia="uk-UA"/>
        </w:rPr>
        <w:t xml:space="preserve">, а саме: зменшити кошторисні призначення в частині фінансування Програми компенсації фізичним особам, які надають соціальні послуги з догляду на непрофесійній основі на території Ме</w:t>
      </w:r>
      <w:r>
        <w:rPr>
          <w:color w:val="000000"/>
          <w:szCs w:val="28"/>
          <w:lang w:eastAsia="uk-UA"/>
        </w:rPr>
        <w:t xml:space="preserve">нської міської територіальної громади на 2022-2024 роки на суму 60000,00 грн., відповідно збільшити на таку ж суму кошторисні призначення в частині фінансування Програми соціальної підтримки жителів Менської міської територіальної громади на 2022-2024 роки</w:t>
      </w:r>
      <w:r>
        <w:rPr>
          <w:color w:val="000000"/>
          <w:szCs w:val="28"/>
          <w:lang w:eastAsia="uk-UA"/>
        </w:rPr>
      </w:r>
      <w:r>
        <w:rPr>
          <w:color w:val="000000"/>
          <w:szCs w:val="28"/>
          <w:lang w:eastAsia="uk-UA"/>
        </w:rPr>
      </w:r>
    </w:p>
    <w:p>
      <w:pPr>
        <w:pStyle w:val="905"/>
        <w:pBdr>
          <w:left w:val="none" w:color="000000" w:sz="4" w:space="1"/>
          <w:between w:val="none" w:color="000000" w:sz="4" w:space="0"/>
        </w:pBdr>
        <w:tabs>
          <w:tab w:val="left" w:leader="none" w:pos="0"/>
          <w:tab w:val="clear" w:leader="none" w:pos="1134"/>
        </w:tabs>
        <w:spacing w:line="253" w:lineRule="atLeast"/>
        <w:ind w:firstLine="0" w:left="0"/>
        <w:rPr>
          <w:color w:val="000000"/>
          <w:szCs w:val="28"/>
          <w:lang w:eastAsia="uk-UA"/>
        </w:rPr>
      </w:pPr>
      <w:r/>
      <w:bookmarkStart w:id="0" w:name="_GoBack"/>
      <w:r/>
      <w:bookmarkEnd w:id="0"/>
      <w:r>
        <w:rPr>
          <w:color w:val="000000"/>
          <w:szCs w:val="28"/>
          <w:lang w:eastAsia="uk-UA"/>
        </w:rPr>
        <w:t xml:space="preserve">(КПКВК МБ 0813160 КЕКВ 2730 -60000,00 грн., КЕКВ 0813242 КЕКВ 2730 +60000,00 грн.).</w:t>
      </w:r>
      <w:r>
        <w:rPr>
          <w:color w:val="000000"/>
          <w:szCs w:val="28"/>
          <w:lang w:eastAsia="uk-UA"/>
        </w:rPr>
      </w:r>
      <w:r>
        <w:rPr>
          <w:color w:val="000000"/>
          <w:szCs w:val="28"/>
          <w:lang w:eastAsia="uk-UA"/>
        </w:rPr>
      </w:r>
    </w:p>
    <w:p>
      <w:pPr>
        <w:pStyle w:val="905"/>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szCs w:val="28"/>
        </w:rPr>
        <w:t xml:space="preserve">Внести зміни до річног</w:t>
      </w:r>
      <w:r>
        <w:rPr>
          <w:szCs w:val="28"/>
        </w:rPr>
        <w:t xml:space="preserve">о розпису видатків загального фонду по апарату управління Менської міської ради, а саме зменшити кошторисні призначення для інших поточних видатків на суму 2800,00 грн., відповідно збільшити кошторисні призначення на таку ж суму для видатків на відрядження</w:t>
      </w:r>
      <w:r>
        <w:rPr>
          <w:szCs w:val="28"/>
        </w:rPr>
      </w:r>
      <w:r>
        <w:rPr>
          <w:szCs w:val="28"/>
        </w:rPr>
      </w:r>
    </w:p>
    <w:p>
      <w:pPr>
        <w:pBdr>
          <w:left w:val="none" w:color="000000" w:sz="4" w:space="1"/>
          <w:between w:val="none" w:color="000000" w:sz="4" w:space="0"/>
        </w:pBdr>
        <w:tabs>
          <w:tab w:val="left" w:leader="none" w:pos="0"/>
          <w:tab w:val="clear" w:leader="none" w:pos="1134"/>
        </w:tabs>
        <w:spacing w:line="253" w:lineRule="atLeast"/>
        <w:ind w:firstLine="0"/>
        <w:rPr>
          <w:szCs w:val="28"/>
        </w:rPr>
      </w:pPr>
      <w:r>
        <w:rPr>
          <w:szCs w:val="28"/>
        </w:rPr>
        <w:t xml:space="preserve">(КПКВК МБ 0110150 КЕКВ 2800 -2800,00 грн., КЕКВ 2250 +2800,00 грн.).</w:t>
      </w:r>
      <w:r>
        <w:rPr>
          <w:szCs w:val="28"/>
        </w:rPr>
      </w:r>
      <w:r>
        <w:rPr>
          <w:szCs w:val="28"/>
        </w:rPr>
      </w:r>
    </w:p>
    <w:p>
      <w:pPr>
        <w:pStyle w:val="905"/>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rPr>
        <w:t xml:space="preserve">Контроль за виконанням розпорядження покласти на начальника </w:t>
      </w:r>
      <w:r>
        <w:rPr>
          <w:color w:val="000000"/>
          <w:szCs w:val="28"/>
        </w:rPr>
        <w:t xml:space="preserve">Ф</w:t>
      </w:r>
      <w:r>
        <w:rPr>
          <w:color w:val="000000"/>
          <w:szCs w:val="28"/>
        </w:rPr>
        <w:t xml:space="preserve">інансового управління Менської міської ради </w:t>
      </w:r>
      <w:r>
        <w:rPr>
          <w:color w:val="000000"/>
          <w:szCs w:val="28"/>
        </w:rPr>
        <w:t xml:space="preserve">Аллу НЕРОСЛИК</w:t>
      </w:r>
      <w:r>
        <w:rPr>
          <w:color w:val="000000"/>
          <w:szCs w:val="28"/>
        </w:rPr>
        <w:t xml:space="preserve">.</w:t>
      </w:r>
      <w:r>
        <w:rPr>
          <w:szCs w:val="28"/>
        </w:rPr>
      </w:r>
      <w:r>
        <w:rPr>
          <w:szCs w:val="28"/>
        </w:rPr>
      </w:r>
    </w:p>
    <w:p>
      <w:pPr>
        <w:pBdr>
          <w:left w:val="none" w:color="000000" w:sz="4" w:space="0"/>
          <w:between w:val="none" w:color="000000" w:sz="4" w:space="0"/>
        </w:pBdr>
        <w:tabs>
          <w:tab w:val="left" w:leader="none" w:pos="0"/>
          <w:tab w:val="clear" w:leader="none" w:pos="1134"/>
        </w:tabs>
        <w:spacing w:line="253" w:lineRule="atLeast"/>
        <w:ind/>
        <w:rPr/>
      </w:pPr>
      <w:r>
        <w:rPr>
          <w:szCs w:val="28"/>
        </w:rPr>
      </w:r>
      <w:r>
        <w:rPr>
          <w:szCs w:val="28"/>
        </w:rPr>
      </w:r>
    </w:p>
    <w:p>
      <w:pPr>
        <w:pBdr>
          <w:left w:val="none" w:color="000000" w:sz="4" w:space="1"/>
          <w:between w:val="none" w:color="000000" w:sz="4" w:space="0"/>
        </w:pBdr>
        <w:tabs>
          <w:tab w:val="left" w:leader="none" w:pos="0"/>
          <w:tab w:val="clear" w:leader="none" w:pos="1134"/>
        </w:tabs>
        <w:spacing w:line="253" w:lineRule="atLeast"/>
        <w:ind/>
        <w:rPr/>
      </w:pPr>
      <w:r>
        <w:rPr>
          <w:szCs w:val="28"/>
        </w:rPr>
      </w:r>
      <w:r>
        <w:rPr>
          <w:szCs w:val="28"/>
        </w:rPr>
      </w:r>
      <w:r>
        <w:rPr>
          <w:szCs w:val="28"/>
        </w:rPr>
      </w:r>
    </w:p>
    <w:p>
      <w:pPr>
        <w:pBdr>
          <w:left w:val="none" w:color="000000" w:sz="4" w:space="1"/>
        </w:pBdr>
        <w:tabs>
          <w:tab w:val="clear" w:leader="none" w:pos="1134"/>
          <w:tab w:val="left" w:leader="none" w:pos="6803"/>
        </w:tabs>
        <w:spacing/>
        <w:ind w:firstLine="0"/>
        <w:rPr>
          <w:szCs w:val="28"/>
          <w:u w:val="single"/>
        </w:rPr>
      </w:pPr>
      <w:r>
        <w:rPr>
          <w:color w:val="000000"/>
          <w:szCs w:val="28"/>
        </w:rPr>
        <w:t xml:space="preserve">Секретар ради</w:t>
      </w:r>
      <w:r>
        <w:rPr>
          <w:color w:val="000000"/>
          <w:szCs w:val="28"/>
        </w:rPr>
        <w:t xml:space="preserve">                                                          </w:t>
      </w:r>
      <w:r>
        <w:rPr>
          <w:color w:val="000000"/>
          <w:szCs w:val="28"/>
        </w:rPr>
        <w:t xml:space="preserve">       </w:t>
      </w:r>
      <w:r>
        <w:rPr>
          <w:color w:val="000000"/>
          <w:szCs w:val="28"/>
        </w:rPr>
        <w:t xml:space="preserve">    </w:t>
      </w:r>
      <w:r>
        <w:rPr>
          <w:color w:val="000000"/>
          <w:szCs w:val="28"/>
        </w:rPr>
        <w:t xml:space="preserve">Юрій СТАЛЬНИЧЕНКО</w:t>
      </w:r>
      <w:r>
        <w:rPr>
          <w:szCs w:val="28"/>
          <w:u w:val="single"/>
        </w:rPr>
      </w:r>
      <w:r>
        <w:rPr>
          <w:szCs w:val="28"/>
          <w:u w:val="single"/>
        </w:rPr>
      </w:r>
    </w:p>
    <w:sectPr>
      <w:headerReference w:type="default" r:id="rId9"/>
      <w:headerReference w:type="first" r:id="rId10"/>
      <w:footerReference w:type="default" r:id="rId11"/>
      <w:footerReference w:type="first" r:id="rId12"/>
      <w:footnotePr/>
      <w:endnotePr/>
      <w:type w:val="nextPage"/>
      <w:pgSz w:h="16838" w:orient="portrait" w:w="11906"/>
      <w:pgMar w:top="1386" w:right="567" w:bottom="709" w:left="1701" w:header="28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Mangal">
    <w:panose1 w:val="02040503050406030204"/>
  </w:font>
  <w:font w:name="Courier New">
    <w:panose1 w:val="02070309020205020404"/>
  </w:font>
  <w:font w:name="Tahoma">
    <w:panose1 w:val="020B0604030504040204"/>
  </w:font>
  <w:font w:name="Times New Roman">
    <w:panose1 w:val="02020603050405020304"/>
  </w:font>
  <w:font w:name="Arial">
    <w:panose1 w:val="020B0604020202020204"/>
  </w:font>
  <w:font w:name="SimSun">
    <w:panose1 w:val="0202060302010102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5"/>
      <w:pBdr/>
      <w:spacing/>
      <w:ind/>
      <w:jc w:val="center"/>
      <w:rPr/>
    </w:pPr>
    <w:fldSimple w:instr="PAGE \* MERGEFORMAT">
      <w:r>
        <w:t xml:space="preserve">1</w:t>
      </w:r>
    </w:fldSimple>
    <w:r/>
    <w:r/>
  </w:p>
  <w:p>
    <w:pPr>
      <w:pStyle w:val="915"/>
      <w:pBdr/>
      <w:spacing/>
      <w:ind/>
      <w:rPr/>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5"/>
      <w:pBdr/>
      <w:spacing/>
      <w:ind/>
      <w:jc w:val="center"/>
      <w:rPr/>
    </w:pPr>
    <w:r/>
    <w:r>
      <w:rPr>
        <w:color w:val="000000" w:themeColor="text1"/>
        <w:lang w:eastAsia="uk-UA"/>
      </w:rPr>
      <mc:AlternateContent>
        <mc:Choice Requires="wpg">
          <w:drawing>
            <wp:inline xmlns:wp="http://schemas.openxmlformats.org/drawingml/2006/wordprocessingDrawing" distT="0" distB="0" distL="0" distR="0">
              <wp:extent cx="43434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82431" name="Рисунок 1"/>
                      <pic:cNvPicPr>
                        <a:picLocks noChangeAspect="1"/>
                      </pic:cNvPicPr>
                      <pic:nvPr/>
                    </pic:nvPicPr>
                    <pic:blipFill>
                      <a:blip r:embed="rId1"/>
                      <a:stretch/>
                    </pic:blipFill>
                    <pic:spPr bwMode="auto">
                      <a:xfrm rot="0" flipH="0" flipV="0">
                        <a:off x="0" y="0"/>
                        <a:ext cx="434340" cy="6095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rotation:0;z-index:1;" stroked="f">
              <v:imagedata r:id="rId1" o:title=""/>
              <o:lock v:ext="edit" rotation="t"/>
            </v:shape>
          </w:pict>
        </mc:Fallback>
      </mc:AlternateContent>
    </w:r>
    <w: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927"/>
      </w:pPr>
      <w:rPr>
        <w:rFonts w:hint="default"/>
      </w:rPr>
      <w:start w:val="2"/>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
    <w:lvl w:ilvl="0">
      <w:isLgl w:val="false"/>
      <w:lvlJc w:val="left"/>
      <w:lvlText w:val="-"/>
      <w:numFmt w:val="bullet"/>
      <w:pPr>
        <w:pBdr/>
        <w:spacing/>
        <w:ind w:hanging="360" w:left="1287"/>
      </w:pPr>
      <w:rPr>
        <w:rFonts w:hint="default" w:ascii="Times New Roman" w:hAnsi="Times New Roman" w:eastAsia="Times New Roman" w:cs="Times New Roman"/>
      </w:rPr>
      <w:start w:val="4"/>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2">
    <w:lvl w:ilvl="0">
      <w:isLgl w:val="false"/>
      <w:lvlJc w:val="left"/>
      <w:lvlText w:val="%1."/>
      <w:numFmt w:val="decimal"/>
      <w:pPr>
        <w:pBdr/>
        <w:spacing/>
        <w:ind w:hanging="360" w:left="360"/>
      </w:pPr>
      <w:rPr>
        <w:rFonts w:hint="default"/>
        <w:color w:val="000000"/>
      </w:rPr>
      <w:start w:val="1"/>
      <w:suff w:val="tab"/>
    </w:lvl>
    <w:lvl w:ilvl="1">
      <w:isLgl w:val="false"/>
      <w:lvlJc w:val="left"/>
      <w:lvlText w:val="%2."/>
      <w:numFmt w:val="lowerLetter"/>
      <w:pPr>
        <w:pBdr/>
        <w:spacing/>
        <w:ind w:hanging="360" w:left="2082"/>
      </w:pPr>
      <w:rPr/>
      <w:start w:val="1"/>
      <w:suff w:val="tab"/>
    </w:lvl>
    <w:lvl w:ilvl="2">
      <w:isLgl w:val="false"/>
      <w:lvlJc w:val="right"/>
      <w:lvlText w:val="%3."/>
      <w:numFmt w:val="lowerRoman"/>
      <w:pPr>
        <w:pBdr/>
        <w:spacing/>
        <w:ind w:hanging="180" w:left="2802"/>
      </w:pPr>
      <w:rPr/>
      <w:start w:val="1"/>
      <w:suff w:val="tab"/>
    </w:lvl>
    <w:lvl w:ilvl="3">
      <w:isLgl w:val="false"/>
      <w:lvlJc w:val="left"/>
      <w:lvlText w:val="%4."/>
      <w:numFmt w:val="decimal"/>
      <w:pPr>
        <w:pBdr/>
        <w:spacing/>
        <w:ind w:hanging="360" w:left="3522"/>
      </w:pPr>
      <w:rPr/>
      <w:start w:val="1"/>
      <w:suff w:val="tab"/>
    </w:lvl>
    <w:lvl w:ilvl="4">
      <w:isLgl w:val="false"/>
      <w:lvlJc w:val="left"/>
      <w:lvlText w:val="%5."/>
      <w:numFmt w:val="lowerLetter"/>
      <w:pPr>
        <w:pBdr/>
        <w:spacing/>
        <w:ind w:hanging="360" w:left="4242"/>
      </w:pPr>
      <w:rPr/>
      <w:start w:val="1"/>
      <w:suff w:val="tab"/>
    </w:lvl>
    <w:lvl w:ilvl="5">
      <w:isLgl w:val="false"/>
      <w:lvlJc w:val="right"/>
      <w:lvlText w:val="%6."/>
      <w:numFmt w:val="lowerRoman"/>
      <w:pPr>
        <w:pBdr/>
        <w:spacing/>
        <w:ind w:hanging="180" w:left="4962"/>
      </w:pPr>
      <w:rPr/>
      <w:start w:val="1"/>
      <w:suff w:val="tab"/>
    </w:lvl>
    <w:lvl w:ilvl="6">
      <w:isLgl w:val="false"/>
      <w:lvlJc w:val="left"/>
      <w:lvlText w:val="%7."/>
      <w:numFmt w:val="decimal"/>
      <w:pPr>
        <w:pBdr/>
        <w:spacing/>
        <w:ind w:hanging="360" w:left="5682"/>
      </w:pPr>
      <w:rPr/>
      <w:start w:val="1"/>
      <w:suff w:val="tab"/>
    </w:lvl>
    <w:lvl w:ilvl="7">
      <w:isLgl w:val="false"/>
      <w:lvlJc w:val="left"/>
      <w:lvlText w:val="%8."/>
      <w:numFmt w:val="lowerLetter"/>
      <w:pPr>
        <w:pBdr/>
        <w:spacing/>
        <w:ind w:hanging="360" w:left="6402"/>
      </w:pPr>
      <w:rPr/>
      <w:start w:val="1"/>
      <w:suff w:val="tab"/>
    </w:lvl>
    <w:lvl w:ilvl="8">
      <w:isLgl w:val="false"/>
      <w:lvlJc w:val="right"/>
      <w:lvlText w:val="%9."/>
      <w:numFmt w:val="lowerRoman"/>
      <w:pPr>
        <w:pBdr/>
        <w:spacing/>
        <w:ind w:hanging="180" w:left="7122"/>
      </w:pPr>
      <w:rPr/>
      <w:start w:val="1"/>
      <w:suff w:val="tab"/>
    </w:lvl>
  </w:abstractNum>
  <w:abstractNum w:abstractNumId="3">
    <w:lvl w:ilvl="0">
      <w:isLgl w:val="false"/>
      <w:lvlJc w:val="left"/>
      <w:lvlText w:val="%1."/>
      <w:numFmt w:val="decimal"/>
      <w:pPr>
        <w:pBdr/>
        <w:spacing/>
        <w:ind w:hanging="360" w:left="360"/>
      </w:pPr>
      <w:rPr>
        <w:rFonts w:hint="default"/>
        <w:color w:val="000000"/>
      </w:rPr>
      <w:start w:val="1"/>
      <w:suff w:val="tab"/>
    </w:lvl>
    <w:lvl w:ilvl="1">
      <w:isLgl w:val="false"/>
      <w:lvlJc w:val="left"/>
      <w:lvlText w:val="%2."/>
      <w:numFmt w:val="lowerLetter"/>
      <w:pPr>
        <w:pBdr/>
        <w:spacing/>
        <w:ind w:hanging="360" w:left="2082"/>
      </w:pPr>
      <w:rPr/>
      <w:start w:val="1"/>
      <w:suff w:val="tab"/>
    </w:lvl>
    <w:lvl w:ilvl="2">
      <w:isLgl w:val="false"/>
      <w:lvlJc w:val="right"/>
      <w:lvlText w:val="%3."/>
      <w:numFmt w:val="lowerRoman"/>
      <w:pPr>
        <w:pBdr/>
        <w:spacing/>
        <w:ind w:hanging="180" w:left="2802"/>
      </w:pPr>
      <w:rPr/>
      <w:start w:val="1"/>
      <w:suff w:val="tab"/>
    </w:lvl>
    <w:lvl w:ilvl="3">
      <w:isLgl w:val="false"/>
      <w:lvlJc w:val="left"/>
      <w:lvlText w:val="%4."/>
      <w:numFmt w:val="decimal"/>
      <w:pPr>
        <w:pBdr/>
        <w:spacing/>
        <w:ind w:hanging="360" w:left="3522"/>
      </w:pPr>
      <w:rPr/>
      <w:start w:val="1"/>
      <w:suff w:val="tab"/>
    </w:lvl>
    <w:lvl w:ilvl="4">
      <w:isLgl w:val="false"/>
      <w:lvlJc w:val="left"/>
      <w:lvlText w:val="%5."/>
      <w:numFmt w:val="lowerLetter"/>
      <w:pPr>
        <w:pBdr/>
        <w:spacing/>
        <w:ind w:hanging="360" w:left="4242"/>
      </w:pPr>
      <w:rPr/>
      <w:start w:val="1"/>
      <w:suff w:val="tab"/>
    </w:lvl>
    <w:lvl w:ilvl="5">
      <w:isLgl w:val="false"/>
      <w:lvlJc w:val="right"/>
      <w:lvlText w:val="%6."/>
      <w:numFmt w:val="lowerRoman"/>
      <w:pPr>
        <w:pBdr/>
        <w:spacing/>
        <w:ind w:hanging="180" w:left="4962"/>
      </w:pPr>
      <w:rPr/>
      <w:start w:val="1"/>
      <w:suff w:val="tab"/>
    </w:lvl>
    <w:lvl w:ilvl="6">
      <w:isLgl w:val="false"/>
      <w:lvlJc w:val="left"/>
      <w:lvlText w:val="%7."/>
      <w:numFmt w:val="decimal"/>
      <w:pPr>
        <w:pBdr/>
        <w:spacing/>
        <w:ind w:hanging="360" w:left="5682"/>
      </w:pPr>
      <w:rPr/>
      <w:start w:val="1"/>
      <w:suff w:val="tab"/>
    </w:lvl>
    <w:lvl w:ilvl="7">
      <w:isLgl w:val="false"/>
      <w:lvlJc w:val="left"/>
      <w:lvlText w:val="%8."/>
      <w:numFmt w:val="lowerLetter"/>
      <w:pPr>
        <w:pBdr/>
        <w:spacing/>
        <w:ind w:hanging="360" w:left="6402"/>
      </w:pPr>
      <w:rPr/>
      <w:start w:val="1"/>
      <w:suff w:val="tab"/>
    </w:lvl>
    <w:lvl w:ilvl="8">
      <w:isLgl w:val="false"/>
      <w:lvlJc w:val="right"/>
      <w:lvlText w:val="%9."/>
      <w:numFmt w:val="lowerRoman"/>
      <w:pPr>
        <w:pBdr/>
        <w:spacing/>
        <w:ind w:hanging="180" w:left="7122"/>
      </w:pPr>
      <w:rPr/>
      <w:start w:val="1"/>
      <w:suff w:val="tab"/>
    </w:lvl>
  </w:abstractNum>
  <w:abstractNum w:abstractNumId="4">
    <w:lvl w:ilvl="0">
      <w:isLgl w:val="false"/>
      <w:lvlJc w:val="left"/>
      <w:lvlText w:val="%1."/>
      <w:numFmt w:val="decimal"/>
      <w:pPr>
        <w:pBdr/>
        <w:spacing/>
        <w:ind w:hanging="360" w:left="927"/>
      </w:pPr>
      <w:rPr>
        <w:rFonts w:hint="default"/>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5">
    <w:lvl w:ilvl="0">
      <w:isLgl w:val="false"/>
      <w:lvlJc w:val="left"/>
      <w:lvlText w:val="-"/>
      <w:numFmt w:val="bullet"/>
      <w:pPr>
        <w:pBdr/>
        <w:spacing/>
        <w:ind w:hanging="360" w:left="927"/>
      </w:pPr>
      <w:rPr>
        <w:rFonts w:hint="default" w:ascii="Times New Roman" w:hAnsi="Times New Roman" w:eastAsia="Times New Roman" w:cs="Times New Roman"/>
      </w:rPr>
      <w:start w:val="0"/>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6">
    <w:lvl w:ilvl="0">
      <w:isLgl w:val="false"/>
      <w:lvlJc w:val="left"/>
      <w:lvlText w:val="-"/>
      <w:numFmt w:val="bullet"/>
      <w:pPr>
        <w:pBdr/>
        <w:spacing/>
        <w:ind w:hanging="360" w:left="927"/>
      </w:pPr>
      <w:rPr>
        <w:rFonts w:hint="default" w:ascii="Times New Roman" w:hAnsi="Times New Roman" w:eastAsia="Times New Roman" w:cs="Times New Roman"/>
      </w:rPr>
      <w:start w:val="0"/>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7">
    <w:lvl w:ilvl="0">
      <w:isLgl w:val="false"/>
      <w:lvlJc w:val="left"/>
      <w:lvlText w:val="-"/>
      <w:numFmt w:val="bullet"/>
      <w:pPr>
        <w:pBdr/>
        <w:spacing/>
        <w:ind w:hanging="360" w:left="927"/>
      </w:pPr>
      <w:rPr>
        <w:rFonts w:hint="default" w:ascii="Times New Roman" w:hAnsi="Times New Roman" w:eastAsia="Times New Roman" w:cs="Times New Roman"/>
      </w:rPr>
      <w:start w:val="19"/>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8">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9">
    <w:lvl w:ilvl="0">
      <w:isLgl w:val="false"/>
      <w:lvlJc w:val="left"/>
      <w:lvlText w:val="-"/>
      <w:numFmt w:val="bullet"/>
      <w:pPr>
        <w:pBdr/>
        <w:spacing/>
        <w:ind w:hanging="360" w:left="720"/>
      </w:pPr>
      <w:rPr>
        <w:rFonts w:hint="default" w:ascii="Times New Roman" w:hAnsi="Times New Roman" w:eastAsia="Times New Roman" w:cs="Times New Roman"/>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1."/>
      <w:numFmt w:val="decimal"/>
      <w:pPr>
        <w:pBdr/>
        <w:spacing/>
        <w:ind w:hanging="360" w:left="927"/>
      </w:pPr>
      <w:rPr>
        <w:rFonts w:hint="default"/>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1">
    <w:lvl w:ilvl="0">
      <w:isLgl w:val="false"/>
      <w:lvlJc w:val="left"/>
      <w:lvlText w:val="-"/>
      <w:numFmt w:val="bullet"/>
      <w:pPr>
        <w:pBdr/>
        <w:spacing/>
        <w:ind w:hanging="360" w:left="1287"/>
      </w:pPr>
      <w:rPr>
        <w:rFonts w:hint="default" w:ascii="Times New Roman" w:hAnsi="Times New Roman" w:eastAsia="Times New Roman" w:cs="Times New Roman"/>
      </w:rPr>
      <w:start w:val="4"/>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12">
    <w:lvl w:ilvl="0">
      <w:isLgl w:val="false"/>
      <w:lvlJc w:val="left"/>
      <w:lvlText w:val="-"/>
      <w:numFmt w:val="bullet"/>
      <w:pPr>
        <w:pBdr/>
        <w:spacing/>
        <w:ind w:hanging="360" w:left="720"/>
      </w:pPr>
      <w:rPr>
        <w:rFonts w:hint="default" w:ascii="Times New Roman" w:hAnsi="Times New Roman" w:eastAsia="Times New Roman" w:cs="Times New Roman"/>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1."/>
      <w:numFmt w:val="decimal"/>
      <w:pPr>
        <w:pBdr/>
        <w:spacing/>
        <w:ind w:hanging="360" w:left="927"/>
      </w:pPr>
      <w:rPr>
        <w:rFonts w:hint="default"/>
      </w:rPr>
      <w:start w:val="3"/>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4">
    <w:lvl w:ilvl="0">
      <w:isLgl w:val="false"/>
      <w:lvlJc w:val="left"/>
      <w:lvlText w:val="-"/>
      <w:numFmt w:val="bullet"/>
      <w:pPr>
        <w:pBdr/>
        <w:spacing/>
        <w:ind w:hanging="360" w:left="435"/>
      </w:pPr>
      <w:rPr>
        <w:rFonts w:hint="default" w:ascii="Times New Roman" w:hAnsi="Times New Roman" w:eastAsia="Times New Roman" w:cs="Times New Roman"/>
      </w:rPr>
      <w:start w:val="1"/>
      <w:suff w:val="tab"/>
    </w:lvl>
    <w:lvl w:ilvl="1">
      <w:isLgl w:val="false"/>
      <w:lvlJc w:val="left"/>
      <w:lvlText w:val="o"/>
      <w:numFmt w:val="bullet"/>
      <w:pPr>
        <w:pBdr/>
        <w:spacing/>
        <w:ind w:hanging="360" w:left="1155"/>
      </w:pPr>
      <w:rPr>
        <w:rFonts w:hint="default" w:ascii="Courier New" w:hAnsi="Courier New" w:cs="Courier New"/>
      </w:rPr>
      <w:start w:val="1"/>
      <w:suff w:val="tab"/>
    </w:lvl>
    <w:lvl w:ilvl="2">
      <w:isLgl w:val="false"/>
      <w:lvlJc w:val="left"/>
      <w:lvlText w:val=""/>
      <w:numFmt w:val="bullet"/>
      <w:pPr>
        <w:pBdr/>
        <w:spacing/>
        <w:ind w:hanging="360" w:left="1875"/>
      </w:pPr>
      <w:rPr>
        <w:rFonts w:hint="default" w:ascii="Wingdings" w:hAnsi="Wingdings"/>
      </w:rPr>
      <w:start w:val="1"/>
      <w:suff w:val="tab"/>
    </w:lvl>
    <w:lvl w:ilvl="3">
      <w:isLgl w:val="false"/>
      <w:lvlJc w:val="left"/>
      <w:lvlText w:val=""/>
      <w:numFmt w:val="bullet"/>
      <w:pPr>
        <w:pBdr/>
        <w:spacing/>
        <w:ind w:hanging="360" w:left="2595"/>
      </w:pPr>
      <w:rPr>
        <w:rFonts w:hint="default" w:ascii="Symbol" w:hAnsi="Symbol"/>
      </w:rPr>
      <w:start w:val="1"/>
      <w:suff w:val="tab"/>
    </w:lvl>
    <w:lvl w:ilvl="4">
      <w:isLgl w:val="false"/>
      <w:lvlJc w:val="left"/>
      <w:lvlText w:val="o"/>
      <w:numFmt w:val="bullet"/>
      <w:pPr>
        <w:pBdr/>
        <w:spacing/>
        <w:ind w:hanging="360" w:left="3315"/>
      </w:pPr>
      <w:rPr>
        <w:rFonts w:hint="default" w:ascii="Courier New" w:hAnsi="Courier New" w:cs="Courier New"/>
      </w:rPr>
      <w:start w:val="1"/>
      <w:suff w:val="tab"/>
    </w:lvl>
    <w:lvl w:ilvl="5">
      <w:isLgl w:val="false"/>
      <w:lvlJc w:val="left"/>
      <w:lvlText w:val=""/>
      <w:numFmt w:val="bullet"/>
      <w:pPr>
        <w:pBdr/>
        <w:spacing/>
        <w:ind w:hanging="360" w:left="4035"/>
      </w:pPr>
      <w:rPr>
        <w:rFonts w:hint="default" w:ascii="Wingdings" w:hAnsi="Wingdings"/>
      </w:rPr>
      <w:start w:val="1"/>
      <w:suff w:val="tab"/>
    </w:lvl>
    <w:lvl w:ilvl="6">
      <w:isLgl w:val="false"/>
      <w:lvlJc w:val="left"/>
      <w:lvlText w:val=""/>
      <w:numFmt w:val="bullet"/>
      <w:pPr>
        <w:pBdr/>
        <w:spacing/>
        <w:ind w:hanging="360" w:left="4755"/>
      </w:pPr>
      <w:rPr>
        <w:rFonts w:hint="default" w:ascii="Symbol" w:hAnsi="Symbol"/>
      </w:rPr>
      <w:start w:val="1"/>
      <w:suff w:val="tab"/>
    </w:lvl>
    <w:lvl w:ilvl="7">
      <w:isLgl w:val="false"/>
      <w:lvlJc w:val="left"/>
      <w:lvlText w:val="o"/>
      <w:numFmt w:val="bullet"/>
      <w:pPr>
        <w:pBdr/>
        <w:spacing/>
        <w:ind w:hanging="360" w:left="5475"/>
      </w:pPr>
      <w:rPr>
        <w:rFonts w:hint="default" w:ascii="Courier New" w:hAnsi="Courier New" w:cs="Courier New"/>
      </w:rPr>
      <w:start w:val="1"/>
      <w:suff w:val="tab"/>
    </w:lvl>
    <w:lvl w:ilvl="8">
      <w:isLgl w:val="false"/>
      <w:lvlJc w:val="left"/>
      <w:lvlText w:val=""/>
      <w:numFmt w:val="bullet"/>
      <w:pPr>
        <w:pBdr/>
        <w:spacing/>
        <w:ind w:hanging="360" w:left="6195"/>
      </w:pPr>
      <w:rPr>
        <w:rFonts w:hint="default" w:ascii="Wingdings" w:hAnsi="Wingdings"/>
      </w:rPr>
      <w:start w:val="1"/>
      <w:suff w:val="tab"/>
    </w:lvl>
  </w:abstractNum>
  <w:abstractNum w:abstractNumId="15">
    <w:lvl w:ilvl="0">
      <w:isLgl w:val="false"/>
      <w:lvlJc w:val="left"/>
      <w:lvlText w:val="%1."/>
      <w:numFmt w:val="decimal"/>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lvl w:ilvl="0">
      <w:isLgl w:val="false"/>
      <w:lvlJc w:val="left"/>
      <w:lvlText w:val="-"/>
      <w:numFmt w:val="bullet"/>
      <w:pPr>
        <w:pBdr/>
        <w:spacing/>
        <w:ind w:hanging="360" w:left="720"/>
      </w:pPr>
      <w:rPr>
        <w:rFonts w:hint="default" w:ascii="Times New Roman" w:hAnsi="Times New Roman" w:eastAsia="Times New Roman" w:cs="Times New Roman"/>
      </w:rPr>
      <w:start w:val="4"/>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
      <w:numFmt w:val="bullet"/>
      <w:pPr>
        <w:pBdr/>
        <w:spacing/>
        <w:ind w:hanging="360" w:left="1002"/>
      </w:pPr>
      <w:rPr>
        <w:rFonts w:hint="default" w:ascii="Times New Roman" w:hAnsi="Times New Roman" w:eastAsia="Times New Roman" w:cs="Times New Roman"/>
        <w:color w:val="000000"/>
      </w:rPr>
      <w:start w:val="18"/>
      <w:suff w:val="tab"/>
    </w:lvl>
    <w:lvl w:ilvl="1">
      <w:isLgl w:val="false"/>
      <w:lvlJc w:val="left"/>
      <w:lvlText w:val="o"/>
      <w:numFmt w:val="bullet"/>
      <w:pPr>
        <w:pBdr/>
        <w:spacing/>
        <w:ind w:hanging="360" w:left="1722"/>
      </w:pPr>
      <w:rPr>
        <w:rFonts w:hint="default" w:ascii="Courier New" w:hAnsi="Courier New" w:cs="Courier New"/>
      </w:rPr>
      <w:start w:val="1"/>
      <w:suff w:val="tab"/>
    </w:lvl>
    <w:lvl w:ilvl="2">
      <w:isLgl w:val="false"/>
      <w:lvlJc w:val="left"/>
      <w:lvlText w:val=""/>
      <w:numFmt w:val="bullet"/>
      <w:pPr>
        <w:pBdr/>
        <w:spacing/>
        <w:ind w:hanging="360" w:left="2442"/>
      </w:pPr>
      <w:rPr>
        <w:rFonts w:hint="default" w:ascii="Wingdings" w:hAnsi="Wingdings"/>
      </w:rPr>
      <w:start w:val="1"/>
      <w:suff w:val="tab"/>
    </w:lvl>
    <w:lvl w:ilvl="3">
      <w:isLgl w:val="false"/>
      <w:lvlJc w:val="left"/>
      <w:lvlText w:val=""/>
      <w:numFmt w:val="bullet"/>
      <w:pPr>
        <w:pBdr/>
        <w:spacing/>
        <w:ind w:hanging="360" w:left="3162"/>
      </w:pPr>
      <w:rPr>
        <w:rFonts w:hint="default" w:ascii="Symbol" w:hAnsi="Symbol"/>
      </w:rPr>
      <w:start w:val="1"/>
      <w:suff w:val="tab"/>
    </w:lvl>
    <w:lvl w:ilvl="4">
      <w:isLgl w:val="false"/>
      <w:lvlJc w:val="left"/>
      <w:lvlText w:val="o"/>
      <w:numFmt w:val="bullet"/>
      <w:pPr>
        <w:pBdr/>
        <w:spacing/>
        <w:ind w:hanging="360" w:left="3882"/>
      </w:pPr>
      <w:rPr>
        <w:rFonts w:hint="default" w:ascii="Courier New" w:hAnsi="Courier New" w:cs="Courier New"/>
      </w:rPr>
      <w:start w:val="1"/>
      <w:suff w:val="tab"/>
    </w:lvl>
    <w:lvl w:ilvl="5">
      <w:isLgl w:val="false"/>
      <w:lvlJc w:val="left"/>
      <w:lvlText w:val=""/>
      <w:numFmt w:val="bullet"/>
      <w:pPr>
        <w:pBdr/>
        <w:spacing/>
        <w:ind w:hanging="360" w:left="4602"/>
      </w:pPr>
      <w:rPr>
        <w:rFonts w:hint="default" w:ascii="Wingdings" w:hAnsi="Wingdings"/>
      </w:rPr>
      <w:start w:val="1"/>
      <w:suff w:val="tab"/>
    </w:lvl>
    <w:lvl w:ilvl="6">
      <w:isLgl w:val="false"/>
      <w:lvlJc w:val="left"/>
      <w:lvlText w:val=""/>
      <w:numFmt w:val="bullet"/>
      <w:pPr>
        <w:pBdr/>
        <w:spacing/>
        <w:ind w:hanging="360" w:left="5322"/>
      </w:pPr>
      <w:rPr>
        <w:rFonts w:hint="default" w:ascii="Symbol" w:hAnsi="Symbol"/>
      </w:rPr>
      <w:start w:val="1"/>
      <w:suff w:val="tab"/>
    </w:lvl>
    <w:lvl w:ilvl="7">
      <w:isLgl w:val="false"/>
      <w:lvlJc w:val="left"/>
      <w:lvlText w:val="o"/>
      <w:numFmt w:val="bullet"/>
      <w:pPr>
        <w:pBdr/>
        <w:spacing/>
        <w:ind w:hanging="360" w:left="6042"/>
      </w:pPr>
      <w:rPr>
        <w:rFonts w:hint="default" w:ascii="Courier New" w:hAnsi="Courier New" w:cs="Courier New"/>
      </w:rPr>
      <w:start w:val="1"/>
      <w:suff w:val="tab"/>
    </w:lvl>
    <w:lvl w:ilvl="8">
      <w:isLgl w:val="false"/>
      <w:lvlJc w:val="left"/>
      <w:lvlText w:val=""/>
      <w:numFmt w:val="bullet"/>
      <w:pPr>
        <w:pBdr/>
        <w:spacing/>
        <w:ind w:hanging="360" w:left="6762"/>
      </w:pPr>
      <w:rPr>
        <w:rFonts w:hint="default" w:ascii="Wingdings" w:hAnsi="Wingdings"/>
      </w:rPr>
      <w:start w:val="1"/>
      <w:suff w:val="tab"/>
    </w:lvl>
  </w:abstractNum>
  <w:abstractNum w:abstractNumId="18">
    <w:lvl w:ilvl="0">
      <w:isLgl w:val="false"/>
      <w:lvlJc w:val="left"/>
      <w:lvlText w:val="-"/>
      <w:numFmt w:val="bullet"/>
      <w:pPr>
        <w:pBdr/>
        <w:spacing/>
        <w:ind w:hanging="360" w:left="927"/>
      </w:pPr>
      <w:rPr>
        <w:rFonts w:hint="default" w:ascii="Times New Roman" w:hAnsi="Times New Roman" w:eastAsia="Times New Roman" w:cs="Times New Roman"/>
      </w:rPr>
      <w:start w:val="0"/>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19">
    <w:lvl w:ilvl="0">
      <w:isLgl w:val="false"/>
      <w:lvlJc w:val="left"/>
      <w:lvlText w:val="-"/>
      <w:numFmt w:val="bullet"/>
      <w:pPr>
        <w:pBdr/>
        <w:spacing/>
        <w:ind w:hanging="360" w:left="720"/>
      </w:pPr>
      <w:rPr>
        <w:rFonts w:hint="default" w:ascii="Times New Roman" w:hAnsi="Times New Roman" w:eastAsia="Times New Roman" w:cs="Times New Roman"/>
      </w:rPr>
      <w:start w:val="1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lvl w:ilvl="0">
      <w:isLgl w:val="false"/>
      <w:lvlJc w:val="left"/>
      <w:lvlText w:val="%1."/>
      <w:numFmt w:val="decimal"/>
      <w:pPr>
        <w:pBdr/>
        <w:spacing/>
        <w:ind w:hanging="360" w:left="927"/>
      </w:pPr>
      <w:rPr>
        <w:rFonts w:hint="default"/>
        <w:color w:val="000000"/>
      </w:rPr>
      <w:start w:val="5"/>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num w:numId="1">
    <w:abstractNumId w:val="4"/>
  </w:num>
  <w:num w:numId="2">
    <w:abstractNumId w:val="13"/>
  </w:num>
  <w:num w:numId="3">
    <w:abstractNumId w:val="11"/>
  </w:num>
  <w:num w:numId="4">
    <w:abstractNumId w:val="1"/>
  </w:num>
  <w:num w:numId="5">
    <w:abstractNumId w:val="0"/>
  </w:num>
  <w:num w:numId="6">
    <w:abstractNumId w:val="18"/>
  </w:num>
  <w:num w:numId="7">
    <w:abstractNumId w:val="20"/>
  </w:num>
  <w:num w:numId="8">
    <w:abstractNumId w:val="6"/>
  </w:num>
  <w:num w:numId="9">
    <w:abstractNumId w:val="14"/>
  </w:num>
  <w:num w:numId="10">
    <w:abstractNumId w:val="10"/>
  </w:num>
  <w:num w:numId="11">
    <w:abstractNumId w:val="15"/>
  </w:num>
  <w:num w:numId="12">
    <w:abstractNumId w:val="8"/>
  </w:num>
  <w:num w:numId="13">
    <w:abstractNumId w:val="17"/>
  </w:num>
  <w:num w:numId="14">
    <w:abstractNumId w:val="3"/>
  </w:num>
  <w:num w:numId="15">
    <w:abstractNumId w:val="19"/>
  </w:num>
  <w:num w:numId="16">
    <w:abstractNumId w:val="9"/>
  </w:num>
  <w:num w:numId="17">
    <w:abstractNumId w:val="7"/>
  </w:num>
  <w:num w:numId="18">
    <w:abstractNumId w:val="2"/>
  </w:num>
  <w:num w:numId="19">
    <w:abstractNumId w:val="16"/>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SimSun" w:cs="Calibr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8">
    <w:name w:val="Plain Table 1"/>
    <w:basedOn w:val="74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2"/>
    <w:basedOn w:val="74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3"/>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4"/>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Plain Table 5"/>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w:basedOn w:val="7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4"/>
    <w:basedOn w:val="7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5 Dark"/>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19">
    <w:name w:val="Grid Table 7 Colorful"/>
    <w:basedOn w:val="7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List Table 1 Light"/>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List Table 2"/>
    <w:basedOn w:val="7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List Table 3"/>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List Table 4"/>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List Table 5 Dark"/>
    <w:basedOn w:val="7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25">
    <w:name w:val="List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List Table 7 Colorful"/>
    <w:basedOn w:val="7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character" w:styleId="727">
    <w:name w:val="Intense Emphasis"/>
    <w:basedOn w:val="745"/>
    <w:uiPriority w:val="21"/>
    <w:qFormat/>
    <w:pPr>
      <w:pBdr/>
      <w:spacing/>
      <w:ind/>
    </w:pPr>
    <w:rPr>
      <w:i/>
      <w:iCs/>
      <w:color w:val="0f4761" w:themeColor="accent1" w:themeShade="BF"/>
    </w:rPr>
  </w:style>
  <w:style w:type="character" w:styleId="728">
    <w:name w:val="Intense Reference"/>
    <w:basedOn w:val="745"/>
    <w:uiPriority w:val="32"/>
    <w:qFormat/>
    <w:pPr>
      <w:pBdr/>
      <w:spacing/>
      <w:ind/>
    </w:pPr>
    <w:rPr>
      <w:b/>
      <w:bCs/>
      <w:smallCaps/>
      <w:color w:val="0f4761" w:themeColor="accent1" w:themeShade="BF"/>
      <w:spacing w:val="5"/>
    </w:rPr>
  </w:style>
  <w:style w:type="character" w:styleId="729">
    <w:name w:val="Subtle Emphasis"/>
    <w:basedOn w:val="745"/>
    <w:uiPriority w:val="19"/>
    <w:qFormat/>
    <w:pPr>
      <w:pBdr/>
      <w:spacing/>
      <w:ind/>
    </w:pPr>
    <w:rPr>
      <w:i/>
      <w:iCs/>
      <w:color w:val="404040" w:themeColor="text1" w:themeTint="BF"/>
    </w:rPr>
  </w:style>
  <w:style w:type="character" w:styleId="730">
    <w:name w:val="Emphasis"/>
    <w:basedOn w:val="745"/>
    <w:uiPriority w:val="20"/>
    <w:qFormat/>
    <w:pPr>
      <w:pBdr/>
      <w:spacing/>
      <w:ind/>
    </w:pPr>
    <w:rPr>
      <w:i/>
      <w:iCs/>
    </w:rPr>
  </w:style>
  <w:style w:type="character" w:styleId="731">
    <w:name w:val="Strong"/>
    <w:basedOn w:val="745"/>
    <w:uiPriority w:val="22"/>
    <w:qFormat/>
    <w:pPr>
      <w:pBdr/>
      <w:spacing/>
      <w:ind/>
    </w:pPr>
    <w:rPr>
      <w:b/>
      <w:bCs/>
    </w:rPr>
  </w:style>
  <w:style w:type="character" w:styleId="732">
    <w:name w:val="Subtle Reference"/>
    <w:basedOn w:val="745"/>
    <w:uiPriority w:val="31"/>
    <w:qFormat/>
    <w:pPr>
      <w:pBdr/>
      <w:spacing/>
      <w:ind/>
    </w:pPr>
    <w:rPr>
      <w:smallCaps/>
      <w:color w:val="5a5a5a" w:themeColor="text1" w:themeTint="A5"/>
    </w:rPr>
  </w:style>
  <w:style w:type="character" w:styleId="733">
    <w:name w:val="Book Title"/>
    <w:basedOn w:val="745"/>
    <w:uiPriority w:val="33"/>
    <w:qFormat/>
    <w:pPr>
      <w:pBdr/>
      <w:spacing/>
      <w:ind/>
    </w:pPr>
    <w:rPr>
      <w:b/>
      <w:bCs/>
      <w:i/>
      <w:iCs/>
      <w:spacing w:val="5"/>
    </w:rPr>
  </w:style>
  <w:style w:type="character" w:styleId="734">
    <w:name w:val="FollowedHyperlink"/>
    <w:basedOn w:val="745"/>
    <w:uiPriority w:val="99"/>
    <w:semiHidden/>
    <w:unhideWhenUsed/>
    <w:pPr>
      <w:pBdr/>
      <w:spacing/>
      <w:ind/>
    </w:pPr>
    <w:rPr>
      <w:color w:val="954f72" w:themeColor="followedHyperlink"/>
      <w:u w:val="single"/>
    </w:rPr>
  </w:style>
  <w:style w:type="paragraph" w:styleId="735" w:default="1">
    <w:name w:val="Normal"/>
    <w:qFormat/>
    <w:pPr>
      <w:pBdr>
        <w:top w:val="none" w:color="000000" w:sz="4" w:space="0"/>
        <w:left w:val="none" w:color="000000" w:sz="4" w:space="0"/>
        <w:bottom w:val="none" w:color="000000" w:sz="4" w:space="0"/>
        <w:right w:val="none" w:color="000000" w:sz="4" w:space="0"/>
      </w:pBdr>
      <w:tabs>
        <w:tab w:val="left" w:leader="none" w:pos="1134"/>
      </w:tabs>
      <w:spacing w:after="0" w:line="240" w:lineRule="auto"/>
      <w:ind w:firstLine="567"/>
      <w:jc w:val="both"/>
    </w:pPr>
    <w:rPr>
      <w:rFonts w:ascii="Times New Roman" w:hAnsi="Times New Roman" w:eastAsia="Times New Roman" w:cs="Times New Roman"/>
      <w:sz w:val="28"/>
    </w:rPr>
  </w:style>
  <w:style w:type="paragraph" w:styleId="736">
    <w:name w:val="Heading 1"/>
    <w:basedOn w:val="735"/>
    <w:next w:val="735"/>
    <w:link w:val="896"/>
    <w:uiPriority w:val="9"/>
    <w:qFormat/>
    <w:pPr>
      <w:keepNext w:val="true"/>
      <w:keepLines w:val="true"/>
      <w:pBdr/>
      <w:spacing w:after="200" w:before="480"/>
      <w:ind/>
      <w:outlineLvl w:val="0"/>
    </w:pPr>
    <w:rPr>
      <w:rFonts w:ascii="Arial" w:hAnsi="Arial" w:eastAsia="Arial" w:cs="Arial"/>
      <w:sz w:val="40"/>
      <w:szCs w:val="40"/>
    </w:rPr>
  </w:style>
  <w:style w:type="paragraph" w:styleId="737">
    <w:name w:val="Heading 2"/>
    <w:basedOn w:val="735"/>
    <w:next w:val="735"/>
    <w:link w:val="897"/>
    <w:uiPriority w:val="9"/>
    <w:unhideWhenUsed/>
    <w:qFormat/>
    <w:pPr>
      <w:keepNext w:val="true"/>
      <w:keepLines w:val="true"/>
      <w:pBdr/>
      <w:spacing w:after="200" w:before="360"/>
      <w:ind/>
      <w:outlineLvl w:val="1"/>
    </w:pPr>
    <w:rPr>
      <w:rFonts w:ascii="Arial" w:hAnsi="Arial" w:eastAsia="Arial" w:cs="Arial"/>
      <w:sz w:val="34"/>
    </w:rPr>
  </w:style>
  <w:style w:type="paragraph" w:styleId="738">
    <w:name w:val="Heading 3"/>
    <w:basedOn w:val="735"/>
    <w:next w:val="735"/>
    <w:link w:val="898"/>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39">
    <w:name w:val="Heading 4"/>
    <w:basedOn w:val="735"/>
    <w:next w:val="735"/>
    <w:link w:val="899"/>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0">
    <w:name w:val="Heading 5"/>
    <w:basedOn w:val="735"/>
    <w:next w:val="735"/>
    <w:link w:val="900"/>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1">
    <w:name w:val="Heading 6"/>
    <w:basedOn w:val="735"/>
    <w:next w:val="735"/>
    <w:link w:val="901"/>
    <w:uiPriority w:val="9"/>
    <w:unhideWhenUsed/>
    <w:qFormat/>
    <w:pPr>
      <w:keepNext w:val="true"/>
      <w:keepLines w:val="true"/>
      <w:pBdr/>
      <w:spacing w:after="200" w:before="320"/>
      <w:ind/>
      <w:outlineLvl w:val="5"/>
    </w:pPr>
    <w:rPr>
      <w:rFonts w:ascii="Arial" w:hAnsi="Arial" w:eastAsia="Arial" w:cs="Arial"/>
      <w:b/>
      <w:bCs/>
      <w:sz w:val="22"/>
    </w:rPr>
  </w:style>
  <w:style w:type="paragraph" w:styleId="742">
    <w:name w:val="Heading 7"/>
    <w:basedOn w:val="735"/>
    <w:next w:val="735"/>
    <w:link w:val="902"/>
    <w:uiPriority w:val="9"/>
    <w:unhideWhenUsed/>
    <w:qFormat/>
    <w:pPr>
      <w:keepNext w:val="true"/>
      <w:keepLines w:val="true"/>
      <w:pBdr/>
      <w:spacing w:after="200" w:before="320"/>
      <w:ind/>
      <w:outlineLvl w:val="6"/>
    </w:pPr>
    <w:rPr>
      <w:rFonts w:ascii="Arial" w:hAnsi="Arial" w:eastAsia="Arial" w:cs="Arial"/>
      <w:b/>
      <w:bCs/>
      <w:i/>
      <w:iCs/>
      <w:sz w:val="22"/>
    </w:rPr>
  </w:style>
  <w:style w:type="paragraph" w:styleId="743">
    <w:name w:val="Heading 8"/>
    <w:basedOn w:val="735"/>
    <w:next w:val="735"/>
    <w:link w:val="903"/>
    <w:uiPriority w:val="9"/>
    <w:unhideWhenUsed/>
    <w:qFormat/>
    <w:pPr>
      <w:keepNext w:val="true"/>
      <w:keepLines w:val="true"/>
      <w:pBdr/>
      <w:spacing w:after="200" w:before="320"/>
      <w:ind/>
      <w:outlineLvl w:val="7"/>
    </w:pPr>
    <w:rPr>
      <w:rFonts w:ascii="Arial" w:hAnsi="Arial" w:eastAsia="Arial" w:cs="Arial"/>
      <w:i/>
      <w:iCs/>
      <w:sz w:val="22"/>
    </w:rPr>
  </w:style>
  <w:style w:type="paragraph" w:styleId="744">
    <w:name w:val="Heading 9"/>
    <w:basedOn w:val="735"/>
    <w:next w:val="735"/>
    <w:link w:val="904"/>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5" w:default="1">
    <w:name w:val="Default Paragraph Font"/>
    <w:uiPriority w:val="1"/>
    <w:semiHidden/>
    <w:unhideWhenUsed/>
    <w:pPr>
      <w:pBdr/>
      <w:spacing/>
      <w:ind/>
    </w:pPr>
  </w:style>
  <w:style w:type="table" w:styleId="746"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7" w:default="1">
    <w:name w:val="No List"/>
    <w:uiPriority w:val="99"/>
    <w:semiHidden/>
    <w:unhideWhenUsed/>
    <w:pPr>
      <w:pBdr/>
      <w:spacing/>
      <w:ind/>
    </w:pPr>
  </w:style>
  <w:style w:type="character" w:styleId="748" w:customStyle="1">
    <w:name w:val="Heading 1 Char"/>
    <w:basedOn w:val="745"/>
    <w:uiPriority w:val="9"/>
    <w:pPr>
      <w:pBdr/>
      <w:spacing/>
      <w:ind/>
    </w:pPr>
    <w:rPr>
      <w:rFonts w:ascii="Arial" w:hAnsi="Arial" w:eastAsia="Arial" w:cs="Arial"/>
      <w:sz w:val="40"/>
      <w:szCs w:val="40"/>
    </w:rPr>
  </w:style>
  <w:style w:type="character" w:styleId="749" w:customStyle="1">
    <w:name w:val="Heading 2 Char"/>
    <w:basedOn w:val="745"/>
    <w:uiPriority w:val="9"/>
    <w:pPr>
      <w:pBdr/>
      <w:spacing/>
      <w:ind/>
    </w:pPr>
    <w:rPr>
      <w:rFonts w:ascii="Arial" w:hAnsi="Arial" w:eastAsia="Arial" w:cs="Arial"/>
      <w:sz w:val="34"/>
    </w:rPr>
  </w:style>
  <w:style w:type="character" w:styleId="750" w:customStyle="1">
    <w:name w:val="Heading 3 Char"/>
    <w:basedOn w:val="745"/>
    <w:uiPriority w:val="9"/>
    <w:pPr>
      <w:pBdr/>
      <w:spacing/>
      <w:ind/>
    </w:pPr>
    <w:rPr>
      <w:rFonts w:ascii="Arial" w:hAnsi="Arial" w:eastAsia="Arial" w:cs="Arial"/>
      <w:sz w:val="30"/>
      <w:szCs w:val="30"/>
    </w:rPr>
  </w:style>
  <w:style w:type="character" w:styleId="751" w:customStyle="1">
    <w:name w:val="Heading 4 Char"/>
    <w:basedOn w:val="745"/>
    <w:uiPriority w:val="9"/>
    <w:pPr>
      <w:pBdr/>
      <w:spacing/>
      <w:ind/>
    </w:pPr>
    <w:rPr>
      <w:rFonts w:ascii="Arial" w:hAnsi="Arial" w:eastAsia="Arial" w:cs="Arial"/>
      <w:b/>
      <w:bCs/>
      <w:sz w:val="26"/>
      <w:szCs w:val="26"/>
    </w:rPr>
  </w:style>
  <w:style w:type="character" w:styleId="752" w:customStyle="1">
    <w:name w:val="Heading 5 Char"/>
    <w:basedOn w:val="745"/>
    <w:uiPriority w:val="9"/>
    <w:pPr>
      <w:pBdr/>
      <w:spacing/>
      <w:ind/>
    </w:pPr>
    <w:rPr>
      <w:rFonts w:ascii="Arial" w:hAnsi="Arial" w:eastAsia="Arial" w:cs="Arial"/>
      <w:b/>
      <w:bCs/>
      <w:sz w:val="24"/>
      <w:szCs w:val="24"/>
    </w:rPr>
  </w:style>
  <w:style w:type="character" w:styleId="753" w:customStyle="1">
    <w:name w:val="Heading 6 Char"/>
    <w:basedOn w:val="745"/>
    <w:uiPriority w:val="9"/>
    <w:pPr>
      <w:pBdr/>
      <w:spacing/>
      <w:ind/>
    </w:pPr>
    <w:rPr>
      <w:rFonts w:ascii="Arial" w:hAnsi="Arial" w:eastAsia="Arial" w:cs="Arial"/>
      <w:b/>
      <w:bCs/>
      <w:sz w:val="22"/>
      <w:szCs w:val="22"/>
    </w:rPr>
  </w:style>
  <w:style w:type="character" w:styleId="754" w:customStyle="1">
    <w:name w:val="Heading 7 Char"/>
    <w:basedOn w:val="745"/>
    <w:uiPriority w:val="9"/>
    <w:pPr>
      <w:pBdr/>
      <w:spacing/>
      <w:ind/>
    </w:pPr>
    <w:rPr>
      <w:rFonts w:ascii="Arial" w:hAnsi="Arial" w:eastAsia="Arial" w:cs="Arial"/>
      <w:b/>
      <w:bCs/>
      <w:i/>
      <w:iCs/>
      <w:sz w:val="22"/>
      <w:szCs w:val="22"/>
    </w:rPr>
  </w:style>
  <w:style w:type="character" w:styleId="755" w:customStyle="1">
    <w:name w:val="Heading 8 Char"/>
    <w:basedOn w:val="745"/>
    <w:uiPriority w:val="9"/>
    <w:pPr>
      <w:pBdr/>
      <w:spacing/>
      <w:ind/>
    </w:pPr>
    <w:rPr>
      <w:rFonts w:ascii="Arial" w:hAnsi="Arial" w:eastAsia="Arial" w:cs="Arial"/>
      <w:i/>
      <w:iCs/>
      <w:sz w:val="22"/>
      <w:szCs w:val="22"/>
    </w:rPr>
  </w:style>
  <w:style w:type="character" w:styleId="756" w:customStyle="1">
    <w:name w:val="Heading 9 Char"/>
    <w:basedOn w:val="745"/>
    <w:uiPriority w:val="9"/>
    <w:pPr>
      <w:pBdr/>
      <w:spacing/>
      <w:ind/>
    </w:pPr>
    <w:rPr>
      <w:rFonts w:ascii="Arial" w:hAnsi="Arial" w:eastAsia="Arial" w:cs="Arial"/>
      <w:i/>
      <w:iCs/>
      <w:sz w:val="21"/>
      <w:szCs w:val="21"/>
    </w:rPr>
  </w:style>
  <w:style w:type="character" w:styleId="757" w:customStyle="1">
    <w:name w:val="Title Char"/>
    <w:basedOn w:val="745"/>
    <w:uiPriority w:val="10"/>
    <w:pPr>
      <w:pBdr/>
      <w:spacing/>
      <w:ind/>
    </w:pPr>
    <w:rPr>
      <w:sz w:val="48"/>
      <w:szCs w:val="48"/>
    </w:rPr>
  </w:style>
  <w:style w:type="character" w:styleId="758" w:customStyle="1">
    <w:name w:val="Subtitle Char"/>
    <w:basedOn w:val="745"/>
    <w:uiPriority w:val="11"/>
    <w:pPr>
      <w:pBdr/>
      <w:spacing/>
      <w:ind/>
    </w:pPr>
    <w:rPr>
      <w:sz w:val="24"/>
      <w:szCs w:val="24"/>
    </w:rPr>
  </w:style>
  <w:style w:type="character" w:styleId="759" w:customStyle="1">
    <w:name w:val="Quote Char"/>
    <w:uiPriority w:val="29"/>
    <w:pPr>
      <w:pBdr/>
      <w:spacing/>
      <w:ind/>
    </w:pPr>
    <w:rPr>
      <w:i/>
    </w:rPr>
  </w:style>
  <w:style w:type="character" w:styleId="760" w:customStyle="1">
    <w:name w:val="Intense Quote Char"/>
    <w:uiPriority w:val="30"/>
    <w:pPr>
      <w:pBdr/>
      <w:spacing/>
      <w:ind/>
    </w:pPr>
    <w:rPr>
      <w:i/>
    </w:rPr>
  </w:style>
  <w:style w:type="character" w:styleId="761" w:customStyle="1">
    <w:name w:val="Header Char"/>
    <w:basedOn w:val="745"/>
    <w:uiPriority w:val="99"/>
    <w:pPr>
      <w:pBdr/>
      <w:spacing/>
      <w:ind/>
    </w:pPr>
  </w:style>
  <w:style w:type="character" w:styleId="762" w:customStyle="1">
    <w:name w:val="Footer Char"/>
    <w:basedOn w:val="745"/>
    <w:uiPriority w:val="99"/>
    <w:pPr>
      <w:pBdr/>
      <w:spacing/>
      <w:ind/>
    </w:pPr>
  </w:style>
  <w:style w:type="table" w:styleId="763" w:customStyle="1">
    <w:name w:val="Звичайна таблиця 11"/>
    <w:basedOn w:val="746"/>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Звичайна таблиця 21"/>
    <w:basedOn w:val="74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Звичайна таблиця 3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Звичайна таблиця 4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Звичайна таблиця 5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Таблиця-сітка 1 (світла)1"/>
    <w:basedOn w:val="746"/>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Таблиця-сітка 21"/>
    <w:basedOn w:val="746"/>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Таблиця-сітка 31"/>
    <w:basedOn w:val="746"/>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Таблиця-сітка 41"/>
    <w:basedOn w:val="746"/>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Таблиця-сітка 5 (темна)1"/>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CellMar>
        <w:left w:w="108" w:type="dxa"/>
        <w:top w:w="0" w:type="dxa"/>
        <w:right w:w="108" w:type="dxa"/>
        <w:bottom w:w="0" w:type="dxa"/>
      </w:tblCellMar>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Таблиця-сітка 6 (кольорова)1"/>
    <w:basedOn w:val="746"/>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Таблиця-сітка 7 (кольорова)1"/>
    <w:basedOn w:val="746"/>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Таблиця-список 1 (світлий)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Таблиця-список 21"/>
    <w:basedOn w:val="746"/>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Таблиця-список 31"/>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Таблиця-список 41"/>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Таблиця-список 5 (темний)1"/>
    <w:basedOn w:val="746"/>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CellMar>
        <w:left w:w="108" w:type="dxa"/>
        <w:top w:w="0" w:type="dxa"/>
        <w:right w:w="108" w:type="dxa"/>
        <w:bottom w:w="0" w:type="dxa"/>
      </w:tblCellMar>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Таблиця-список 6 (кольоровий)1"/>
    <w:basedOn w:val="746"/>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Таблиця-список 7 (кольоровий)1"/>
    <w:basedOn w:val="746"/>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82" w:customStyle="1">
    <w:name w:val="Footnote Text Char"/>
    <w:uiPriority w:val="99"/>
    <w:pPr>
      <w:pBdr/>
      <w:spacing/>
      <w:ind/>
    </w:pPr>
    <w:rPr>
      <w:sz w:val="18"/>
    </w:rPr>
  </w:style>
  <w:style w:type="character" w:styleId="783" w:customStyle="1">
    <w:name w:val="Endnote Text Char"/>
    <w:uiPriority w:val="99"/>
    <w:pPr>
      <w:pBdr/>
      <w:spacing/>
      <w:ind/>
    </w:pPr>
    <w:rPr>
      <w:sz w:val="20"/>
    </w:rPr>
  </w:style>
  <w:style w:type="paragraph" w:styleId="784">
    <w:name w:val="Caption"/>
    <w:basedOn w:val="735"/>
    <w:next w:val="735"/>
    <w:uiPriority w:val="35"/>
    <w:semiHidden/>
    <w:unhideWhenUsed/>
    <w:qFormat/>
    <w:pPr>
      <w:pBdr/>
      <w:spacing w:line="276" w:lineRule="auto"/>
      <w:ind/>
    </w:pPr>
    <w:rPr>
      <w:b/>
      <w:bCs/>
      <w:color w:val="4f81bd" w:themeColor="accent1"/>
      <w:sz w:val="18"/>
      <w:szCs w:val="18"/>
    </w:rPr>
  </w:style>
  <w:style w:type="character" w:styleId="785" w:customStyle="1">
    <w:name w:val="Caption Char"/>
    <w:uiPriority w:val="99"/>
    <w:pPr>
      <w:pBdr/>
      <w:spacing/>
      <w:ind/>
    </w:pPr>
  </w:style>
  <w:style w:type="paragraph" w:styleId="786">
    <w:name w:val="endnote text"/>
    <w:basedOn w:val="735"/>
    <w:link w:val="787"/>
    <w:uiPriority w:val="99"/>
    <w:semiHidden/>
    <w:unhideWhenUsed/>
    <w:pPr>
      <w:pBdr/>
      <w:spacing/>
      <w:ind/>
    </w:pPr>
    <w:rPr>
      <w:sz w:val="20"/>
    </w:rPr>
  </w:style>
  <w:style w:type="character" w:styleId="787" w:customStyle="1">
    <w:name w:val="Текст концевой сноски Знак"/>
    <w:link w:val="786"/>
    <w:uiPriority w:val="99"/>
    <w:pPr>
      <w:pBdr/>
      <w:spacing/>
      <w:ind/>
    </w:pPr>
    <w:rPr>
      <w:sz w:val="20"/>
    </w:rPr>
  </w:style>
  <w:style w:type="character" w:styleId="788">
    <w:name w:val="endnote reference"/>
    <w:basedOn w:val="745"/>
    <w:uiPriority w:val="99"/>
    <w:semiHidden/>
    <w:unhideWhenUsed/>
    <w:pPr>
      <w:pBdr/>
      <w:spacing/>
      <w:ind/>
    </w:pPr>
    <w:rPr>
      <w:vertAlign w:val="superscript"/>
    </w:rPr>
  </w:style>
  <w:style w:type="paragraph" w:styleId="789">
    <w:name w:val="table of figures"/>
    <w:basedOn w:val="735"/>
    <w:next w:val="735"/>
    <w:uiPriority w:val="99"/>
    <w:unhideWhenUsed/>
    <w:pPr>
      <w:pBdr/>
      <w:spacing/>
      <w:ind/>
    </w:pPr>
  </w:style>
  <w:style w:type="table" w:styleId="790" w:customStyle="1">
    <w:name w:val="Table Grid Light"/>
    <w:basedOn w:val="746"/>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Звичайна таблиця 11"/>
    <w:basedOn w:val="746"/>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Звичайна таблиця 21"/>
    <w:basedOn w:val="74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Звичайна таблиця 3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Звичайна таблиця 4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Звичайна таблиця 5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Таблиця-сітка 1 (світла)1"/>
    <w:basedOn w:val="746"/>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1 Light - Accent 1"/>
    <w:basedOn w:val="746"/>
    <w:uiPriority w:val="99"/>
    <w:pPr>
      <w:pBdr/>
      <w:spacing w:after="0" w:line="240" w:lineRule="auto"/>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1 Light - Accent 2"/>
    <w:basedOn w:val="746"/>
    <w:uiPriority w:val="99"/>
    <w:pPr>
      <w:pBdr/>
      <w:spacing w:after="0" w:line="240" w:lineRule="auto"/>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1 Light - Accent 3"/>
    <w:basedOn w:val="746"/>
    <w:uiPriority w:val="99"/>
    <w:pPr>
      <w:pBdr/>
      <w:spacing w:after="0" w:line="240" w:lineRule="auto"/>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1 Light - Accent 4"/>
    <w:basedOn w:val="746"/>
    <w:uiPriority w:val="99"/>
    <w:pPr>
      <w:pBdr/>
      <w:spacing w:after="0" w:line="240" w:lineRule="auto"/>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1 Light - Accent 5"/>
    <w:basedOn w:val="746"/>
    <w:uiPriority w:val="99"/>
    <w:pPr>
      <w:pBdr/>
      <w:spacing w:after="0" w:line="240" w:lineRule="auto"/>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1 Light - Accent 6"/>
    <w:basedOn w:val="746"/>
    <w:uiPriority w:val="99"/>
    <w:pPr>
      <w:pBdr/>
      <w:spacing w:after="0" w:line="240" w:lineRule="auto"/>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Таблиця-сітка 21"/>
    <w:basedOn w:val="746"/>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2 - Accent 1"/>
    <w:basedOn w:val="746"/>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2 - Accent 2"/>
    <w:basedOn w:val="746"/>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2 - Accent 3"/>
    <w:basedOn w:val="746"/>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2 - Accent 4"/>
    <w:basedOn w:val="746"/>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2 - Accent 5"/>
    <w:basedOn w:val="746"/>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2 - Accent 6"/>
    <w:basedOn w:val="746"/>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Таблиця-сітка 31"/>
    <w:basedOn w:val="746"/>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3 - Accent 1"/>
    <w:basedOn w:val="746"/>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3 - Accent 2"/>
    <w:basedOn w:val="746"/>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3 - Accent 3"/>
    <w:basedOn w:val="746"/>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3 - Accent 4"/>
    <w:basedOn w:val="746"/>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3 - Accent 5"/>
    <w:basedOn w:val="746"/>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3 - Accent 6"/>
    <w:basedOn w:val="746"/>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Таблиця-сітка 41"/>
    <w:basedOn w:val="746"/>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4 - Accent 1"/>
    <w:basedOn w:val="746"/>
    <w:uiPriority w:val="5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4 - Accent 2"/>
    <w:basedOn w:val="746"/>
    <w:uiPriority w:val="5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4 - Accent 3"/>
    <w:basedOn w:val="746"/>
    <w:uiPriority w:val="5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4 - Accent 4"/>
    <w:basedOn w:val="746"/>
    <w:uiPriority w:val="5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4 - Accent 5"/>
    <w:basedOn w:val="746"/>
    <w:uiPriority w:val="5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4 - Accent 6"/>
    <w:basedOn w:val="746"/>
    <w:uiPriority w:val="5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Таблиця-сітка 5 (темна)1"/>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5 Dark- Accent 1"/>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5 Dark - Accent 2"/>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5 Dark - Accent 3"/>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5 Dark- Accent 4"/>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5 Dark - Accent 5"/>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5 Dark - Accent 6"/>
    <w:basedOn w:val="746"/>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Таблиця-сітка 6 (кольорова)1"/>
    <w:basedOn w:val="746"/>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6 Colorful - Accent 1"/>
    <w:basedOn w:val="746"/>
    <w:uiPriority w:val="99"/>
    <w:pPr>
      <w:pBdr/>
      <w:spacing w:after="0" w:line="240" w:lineRule="auto"/>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6 Colorful - Accent 2"/>
    <w:basedOn w:val="746"/>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6 Colorful - Accent 3"/>
    <w:basedOn w:val="746"/>
    <w:uiPriority w:val="99"/>
    <w:pPr>
      <w:pBdr/>
      <w:spacing w:after="0" w:line="240" w:lineRule="auto"/>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6 Colorful - Accent 4"/>
    <w:basedOn w:val="746"/>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6 Colorful - Accent 5"/>
    <w:basedOn w:val="746"/>
    <w:uiPriority w:val="99"/>
    <w:pPr>
      <w:pBdr/>
      <w:spacing w:after="0" w:line="240" w:lineRule="auto"/>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6 Colorful - Accent 6"/>
    <w:basedOn w:val="746"/>
    <w:uiPriority w:val="99"/>
    <w:pPr>
      <w:pBdr/>
      <w:spacing w:after="0" w:line="240" w:lineRule="auto"/>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Таблиця-сітка 7 (кольорова)1"/>
    <w:basedOn w:val="746"/>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7 Colorful - Accent 1"/>
    <w:basedOn w:val="746"/>
    <w:uiPriority w:val="99"/>
    <w:pPr>
      <w:pBdr/>
      <w:spacing w:after="0" w:line="240" w:lineRule="auto"/>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7 Colorful - Accent 2"/>
    <w:basedOn w:val="746"/>
    <w:uiPriority w:val="99"/>
    <w:pPr>
      <w:pBdr/>
      <w:spacing w:after="0" w:line="240" w:lineRule="auto"/>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7 Colorful - Accent 3"/>
    <w:basedOn w:val="746"/>
    <w:uiPriority w:val="99"/>
    <w:pPr>
      <w:pBdr/>
      <w:spacing w:after="0" w:line="240" w:lineRule="auto"/>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7 Colorful - Accent 4"/>
    <w:basedOn w:val="746"/>
    <w:uiPriority w:val="99"/>
    <w:pPr>
      <w:pBdr/>
      <w:spacing w:after="0" w:line="240" w:lineRule="auto"/>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7 Colorful - Accent 5"/>
    <w:basedOn w:val="746"/>
    <w:uiPriority w:val="99"/>
    <w:pPr>
      <w:pBdr/>
      <w:spacing w:after="0" w:line="240" w:lineRule="auto"/>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auto" w:fill="ffffff"/>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7 Colorful - Accent 6"/>
    <w:basedOn w:val="746"/>
    <w:uiPriority w:val="99"/>
    <w:pPr>
      <w:pBdr/>
      <w:spacing w:after="0" w:line="240" w:lineRule="auto"/>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auto" w:fill="ffffff"/>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Таблиця-список 1 (світлий)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1 Light - Accent 1"/>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1 Light - Accent 2"/>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1 Light - Accent 3"/>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1 Light - Accent 4"/>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1 Light - Accent 5"/>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1 Light - Accent 6"/>
    <w:basedOn w:val="746"/>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Таблиця-список 21"/>
    <w:basedOn w:val="746"/>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2 - Accent 1"/>
    <w:basedOn w:val="746"/>
    <w:uiPriority w:val="99"/>
    <w:pPr>
      <w:pBdr/>
      <w:spacing w:after="0" w:line="240" w:lineRule="auto"/>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2 - Accent 2"/>
    <w:basedOn w:val="746"/>
    <w:uiPriority w:val="99"/>
    <w:pPr>
      <w:pBdr/>
      <w:spacing w:after="0" w:line="240" w:lineRule="auto"/>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2 - Accent 3"/>
    <w:basedOn w:val="746"/>
    <w:uiPriority w:val="99"/>
    <w:pPr>
      <w:pBdr/>
      <w:spacing w:after="0" w:line="240" w:lineRule="auto"/>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2 - Accent 4"/>
    <w:basedOn w:val="746"/>
    <w:uiPriority w:val="99"/>
    <w:pPr>
      <w:pBdr/>
      <w:spacing w:after="0" w:line="240" w:lineRule="auto"/>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2 - Accent 5"/>
    <w:basedOn w:val="746"/>
    <w:uiPriority w:val="99"/>
    <w:pPr>
      <w:pBdr/>
      <w:spacing w:after="0" w:line="240" w:lineRule="auto"/>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2 - Accent 6"/>
    <w:basedOn w:val="746"/>
    <w:uiPriority w:val="99"/>
    <w:pPr>
      <w:pBdr/>
      <w:spacing w:after="0" w:line="240" w:lineRule="auto"/>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Таблиця-список 31"/>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3 - Accent 1"/>
    <w:basedOn w:val="746"/>
    <w:uiPriority w:val="99"/>
    <w:pPr>
      <w:pBdr/>
      <w:spacing w:after="0" w:line="240" w:lineRule="auto"/>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3 - Accent 2"/>
    <w:basedOn w:val="746"/>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3 - Accent 3"/>
    <w:basedOn w:val="746"/>
    <w:uiPriority w:val="99"/>
    <w:pPr>
      <w:pBdr/>
      <w:spacing w:after="0" w:line="240" w:lineRule="auto"/>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3 - Accent 4"/>
    <w:basedOn w:val="746"/>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3 - Accent 5"/>
    <w:basedOn w:val="746"/>
    <w:uiPriority w:val="99"/>
    <w:pPr>
      <w:pBdr/>
      <w:spacing w:after="0" w:line="240" w:lineRule="auto"/>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3 - Accent 6"/>
    <w:basedOn w:val="746"/>
    <w:uiPriority w:val="99"/>
    <w:pPr>
      <w:pBdr/>
      <w:spacing w:after="0" w:line="240" w:lineRule="auto"/>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Таблиця-список 41"/>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4 - Accent 1"/>
    <w:basedOn w:val="746"/>
    <w:uiPriority w:val="9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4 - Accent 2"/>
    <w:basedOn w:val="746"/>
    <w:uiPriority w:val="9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4 - Accent 3"/>
    <w:basedOn w:val="746"/>
    <w:uiPriority w:val="9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4 - Accent 4"/>
    <w:basedOn w:val="746"/>
    <w:uiPriority w:val="9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4 - Accent 5"/>
    <w:basedOn w:val="746"/>
    <w:uiPriority w:val="9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4 - Accent 6"/>
    <w:basedOn w:val="746"/>
    <w:uiPriority w:val="9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Таблиця-список 5 (темний)1"/>
    <w:basedOn w:val="746"/>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5 Dark - Accent 1"/>
    <w:basedOn w:val="746"/>
    <w:uiPriority w:val="99"/>
    <w:pPr>
      <w:pBdr/>
      <w:spacing w:after="0" w:line="240" w:lineRule="auto"/>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5 Dark - Accent 2"/>
    <w:basedOn w:val="746"/>
    <w:uiPriority w:val="99"/>
    <w:pPr>
      <w:pBdr/>
      <w:spacing w:after="0" w:line="240" w:lineRule="auto"/>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5 Dark - Accent 3"/>
    <w:basedOn w:val="746"/>
    <w:uiPriority w:val="99"/>
    <w:pPr>
      <w:pBdr/>
      <w:spacing w:after="0" w:line="240" w:lineRule="auto"/>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5 Dark - Accent 4"/>
    <w:basedOn w:val="746"/>
    <w:uiPriority w:val="99"/>
    <w:pPr>
      <w:pBdr/>
      <w:spacing w:after="0" w:line="240" w:lineRule="auto"/>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5 Dark - Accent 5"/>
    <w:basedOn w:val="746"/>
    <w:uiPriority w:val="99"/>
    <w:pPr>
      <w:pBdr/>
      <w:spacing w:after="0" w:line="240" w:lineRule="auto"/>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5 Dark - Accent 6"/>
    <w:basedOn w:val="746"/>
    <w:uiPriority w:val="99"/>
    <w:pPr>
      <w:pBdr/>
      <w:spacing w:after="0" w:line="240" w:lineRule="auto"/>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Таблиця-список 6 (кольоровий)1"/>
    <w:basedOn w:val="746"/>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6 Colorful - Accent 1"/>
    <w:basedOn w:val="746"/>
    <w:uiPriority w:val="99"/>
    <w:pPr>
      <w:pBdr/>
      <w:spacing w:after="0" w:line="240" w:lineRule="auto"/>
      <w:ind/>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6 Colorful - Accent 2"/>
    <w:basedOn w:val="746"/>
    <w:uiPriority w:val="99"/>
    <w:pPr>
      <w:pBdr/>
      <w:spacing w:after="0" w:line="240" w:lineRule="auto"/>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6 Colorful - Accent 3"/>
    <w:basedOn w:val="746"/>
    <w:uiPriority w:val="99"/>
    <w:pPr>
      <w:pBdr/>
      <w:spacing w:after="0" w:line="240" w:lineRule="auto"/>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6 Colorful - Accent 4"/>
    <w:basedOn w:val="746"/>
    <w:uiPriority w:val="99"/>
    <w:pPr>
      <w:pBdr/>
      <w:spacing w:after="0" w:line="240" w:lineRule="auto"/>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6 Colorful - Accent 5"/>
    <w:basedOn w:val="746"/>
    <w:uiPriority w:val="99"/>
    <w:pPr>
      <w:pBdr/>
      <w:spacing w:after="0" w:line="240" w:lineRule="auto"/>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6 Colorful - Accent 6"/>
    <w:basedOn w:val="746"/>
    <w:uiPriority w:val="99"/>
    <w:pPr>
      <w:pBdr/>
      <w:spacing w:after="0" w:line="240" w:lineRule="auto"/>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Таблиця-список 7 (кольоровий)1"/>
    <w:basedOn w:val="746"/>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7 Colorful - Accent 1"/>
    <w:basedOn w:val="746"/>
    <w:uiPriority w:val="99"/>
    <w:pPr>
      <w:pBdr/>
      <w:spacing w:after="0" w:line="240" w:lineRule="auto"/>
      <w:ind/>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auto" w:fill="ffffff"/>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7 Colorful - Accent 2"/>
    <w:basedOn w:val="746"/>
    <w:uiPriority w:val="99"/>
    <w:pPr>
      <w:pBdr/>
      <w:spacing w:after="0" w:line="240" w:lineRule="auto"/>
      <w:ind/>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7 Colorful - Accent 3"/>
    <w:basedOn w:val="746"/>
    <w:uiPriority w:val="99"/>
    <w:pPr>
      <w:pBdr/>
      <w:spacing w:after="0" w:line="240" w:lineRule="auto"/>
      <w:ind/>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7 Colorful - Accent 4"/>
    <w:basedOn w:val="746"/>
    <w:uiPriority w:val="99"/>
    <w:pPr>
      <w:pBdr/>
      <w:spacing w:after="0" w:line="240" w:lineRule="auto"/>
      <w:ind/>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7 Colorful - Accent 5"/>
    <w:basedOn w:val="746"/>
    <w:uiPriority w:val="99"/>
    <w:pPr>
      <w:pBdr/>
      <w:spacing w:after="0" w:line="240" w:lineRule="auto"/>
      <w:ind/>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7 Colorful - Accent 6"/>
    <w:basedOn w:val="746"/>
    <w:uiPriority w:val="99"/>
    <w:pPr>
      <w:pBdr/>
      <w:spacing w:after="0" w:line="240" w:lineRule="auto"/>
      <w:ind/>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ned - Accent"/>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fffff"/>
        <w:tcBorders/>
      </w:tcPr>
    </w:tblStylePr>
    <w:tblStylePr w:type="band2Vert">
      <w:rPr>
        <w:rFonts w:ascii="Arial" w:hAnsi="Arial"/>
        <w:color w:val="404040"/>
        <w:sz w:val="22"/>
      </w:rPr>
      <w:pPr>
        <w:pBdr/>
        <w:spacing/>
        <w:ind/>
      </w:pPr>
      <w:tblPr>
        <w:tblBorders/>
      </w:tblPr>
      <w:tcPr>
        <w:shd w:val="clear" w:color="auto" w:fill="ffffff"/>
        <w:tcBorders/>
      </w:tcPr>
    </w:tblStylePr>
    <w:tblStylePr w:type="firstCol">
      <w:rPr>
        <w:rFonts w:ascii="Arial" w:hAnsi="Arial"/>
        <w:color w:val="f2f2f2"/>
        <w:sz w:val="22"/>
      </w:rPr>
      <w:pPr>
        <w:pBdr/>
        <w:spacing/>
        <w:ind/>
      </w:pPr>
      <w:tblPr>
        <w:tblBorders/>
      </w:tblPr>
      <w:tcPr>
        <w:shd w:val="clear" w:color="auto" w:fill="ffffff"/>
        <w:tcBorders/>
      </w:tcPr>
    </w:tblStylePr>
    <w:tblStylePr w:type="firstRow">
      <w:rPr>
        <w:rFonts w:ascii="Arial" w:hAnsi="Arial"/>
        <w:color w:val="f2f2f2"/>
        <w:sz w:val="22"/>
      </w:rPr>
      <w:pPr>
        <w:pBdr/>
        <w:spacing/>
        <w:ind/>
      </w:pPr>
      <w:tblPr>
        <w:tblBorders/>
      </w:tblPr>
      <w:tcPr>
        <w:shd w:val="clear" w:color="auto" w:fill="ffffff"/>
        <w:tcBorders/>
      </w:tcPr>
    </w:tblStylePr>
    <w:tblStylePr w:type="lastCol">
      <w:rPr>
        <w:rFonts w:ascii="Arial" w:hAnsi="Arial"/>
        <w:color w:val="f2f2f2"/>
        <w:sz w:val="22"/>
      </w:rPr>
      <w:pPr>
        <w:pBdr/>
        <w:spacing/>
        <w:ind/>
      </w:pPr>
      <w:tblPr>
        <w:tblBorders/>
      </w:tblPr>
      <w:tcPr>
        <w:shd w:val="clear" w:color="auto" w:fill="ffffff"/>
        <w:tcBorders/>
      </w:tcPr>
    </w:tblStylePr>
    <w:tblStylePr w:type="lastRow">
      <w:rPr>
        <w:rFonts w:ascii="Arial" w:hAnsi="Arial"/>
        <w:color w:val="f2f2f2"/>
        <w:sz w:val="22"/>
      </w:rPr>
      <w:pPr>
        <w:pBdr/>
        <w:spacing/>
        <w:ind/>
      </w:pPr>
      <w:tblPr>
        <w:tblBorders/>
      </w:tblPr>
      <w:tcPr>
        <w:shd w:val="clear" w:color="auto" w:fill="fffff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Bordered &amp; Lined - Accent"/>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fffff"/>
        <w:tcBorders/>
      </w:tcPr>
    </w:tblStylePr>
    <w:tblStylePr w:type="band2Vert">
      <w:rPr>
        <w:rFonts w:ascii="Arial" w:hAnsi="Arial"/>
        <w:color w:val="404040"/>
        <w:sz w:val="22"/>
      </w:rPr>
      <w:pPr>
        <w:pBdr/>
        <w:spacing/>
        <w:ind/>
      </w:pPr>
      <w:tblPr>
        <w:tblBorders/>
      </w:tblPr>
      <w:tcPr>
        <w:shd w:val="clear" w:color="auto" w:fill="ffffff"/>
        <w:tcBorders/>
      </w:tcPr>
    </w:tblStylePr>
    <w:tblStylePr w:type="firstCol">
      <w:rPr>
        <w:rFonts w:ascii="Arial" w:hAnsi="Arial"/>
        <w:color w:val="f2f2f2"/>
        <w:sz w:val="22"/>
      </w:rPr>
      <w:pPr>
        <w:pBdr/>
        <w:spacing/>
        <w:ind/>
      </w:pPr>
      <w:tblPr>
        <w:tblBorders/>
      </w:tblPr>
      <w:tcPr>
        <w:shd w:val="clear" w:color="auto" w:fill="ffffff"/>
        <w:tcBorders/>
      </w:tcPr>
    </w:tblStylePr>
    <w:tblStylePr w:type="firstRow">
      <w:rPr>
        <w:rFonts w:ascii="Arial" w:hAnsi="Arial"/>
        <w:color w:val="f2f2f2"/>
        <w:sz w:val="22"/>
      </w:rPr>
      <w:pPr>
        <w:pBdr/>
        <w:spacing/>
        <w:ind/>
      </w:pPr>
      <w:tblPr>
        <w:tblBorders/>
      </w:tblPr>
      <w:tcPr>
        <w:shd w:val="clear" w:color="auto" w:fill="ffffff"/>
        <w:tcBorders/>
      </w:tcPr>
    </w:tblStylePr>
    <w:tblStylePr w:type="lastCol">
      <w:rPr>
        <w:rFonts w:ascii="Arial" w:hAnsi="Arial"/>
        <w:color w:val="f2f2f2"/>
        <w:sz w:val="22"/>
      </w:rPr>
      <w:pPr>
        <w:pBdr/>
        <w:spacing/>
        <w:ind/>
      </w:pPr>
      <w:tblPr>
        <w:tblBorders/>
      </w:tblPr>
      <w:tcPr>
        <w:shd w:val="clear" w:color="auto" w:fill="ffffff"/>
        <w:tcBorders/>
      </w:tcPr>
    </w:tblStylePr>
    <w:tblStylePr w:type="lastRow">
      <w:rPr>
        <w:rFonts w:ascii="Arial" w:hAnsi="Arial"/>
        <w:color w:val="f2f2f2"/>
        <w:sz w:val="22"/>
      </w:rPr>
      <w:pPr>
        <w:pBdr/>
        <w:spacing/>
        <w:ind/>
      </w:pPr>
      <w:tblPr>
        <w:tblBorders/>
      </w:tblPr>
      <w:tcPr>
        <w:shd w:val="clear" w:color="auto" w:fill="fffff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6" w:customStyle="1">
    <w:name w:val="Заголовок 1 Знак"/>
    <w:basedOn w:val="745"/>
    <w:link w:val="736"/>
    <w:uiPriority w:val="9"/>
    <w:pPr>
      <w:pBdr/>
      <w:spacing/>
      <w:ind/>
    </w:pPr>
    <w:rPr>
      <w:rFonts w:ascii="Arial" w:hAnsi="Arial" w:eastAsia="Arial" w:cs="Arial"/>
      <w:sz w:val="40"/>
      <w:szCs w:val="40"/>
    </w:rPr>
  </w:style>
  <w:style w:type="character" w:styleId="897" w:customStyle="1">
    <w:name w:val="Заголовок 2 Знак"/>
    <w:basedOn w:val="745"/>
    <w:link w:val="737"/>
    <w:uiPriority w:val="9"/>
    <w:pPr>
      <w:pBdr/>
      <w:spacing/>
      <w:ind/>
    </w:pPr>
    <w:rPr>
      <w:rFonts w:ascii="Arial" w:hAnsi="Arial" w:eastAsia="Arial" w:cs="Arial"/>
      <w:sz w:val="34"/>
    </w:rPr>
  </w:style>
  <w:style w:type="character" w:styleId="898" w:customStyle="1">
    <w:name w:val="Заголовок 3 Знак"/>
    <w:basedOn w:val="745"/>
    <w:link w:val="738"/>
    <w:uiPriority w:val="9"/>
    <w:pPr>
      <w:pBdr/>
      <w:spacing/>
      <w:ind/>
    </w:pPr>
    <w:rPr>
      <w:rFonts w:ascii="Arial" w:hAnsi="Arial" w:eastAsia="Arial" w:cs="Arial"/>
      <w:sz w:val="30"/>
      <w:szCs w:val="30"/>
    </w:rPr>
  </w:style>
  <w:style w:type="character" w:styleId="899" w:customStyle="1">
    <w:name w:val="Заголовок 4 Знак"/>
    <w:basedOn w:val="745"/>
    <w:link w:val="739"/>
    <w:uiPriority w:val="9"/>
    <w:pPr>
      <w:pBdr/>
      <w:spacing/>
      <w:ind/>
    </w:pPr>
    <w:rPr>
      <w:rFonts w:ascii="Arial" w:hAnsi="Arial" w:eastAsia="Arial" w:cs="Arial"/>
      <w:b/>
      <w:bCs/>
      <w:sz w:val="26"/>
      <w:szCs w:val="26"/>
    </w:rPr>
  </w:style>
  <w:style w:type="character" w:styleId="900" w:customStyle="1">
    <w:name w:val="Заголовок 5 Знак"/>
    <w:basedOn w:val="745"/>
    <w:link w:val="740"/>
    <w:uiPriority w:val="9"/>
    <w:pPr>
      <w:pBdr/>
      <w:spacing/>
      <w:ind/>
    </w:pPr>
    <w:rPr>
      <w:rFonts w:ascii="Arial" w:hAnsi="Arial" w:eastAsia="Arial" w:cs="Arial"/>
      <w:b/>
      <w:bCs/>
      <w:sz w:val="24"/>
      <w:szCs w:val="24"/>
    </w:rPr>
  </w:style>
  <w:style w:type="character" w:styleId="901" w:customStyle="1">
    <w:name w:val="Заголовок 6 Знак"/>
    <w:basedOn w:val="745"/>
    <w:link w:val="741"/>
    <w:uiPriority w:val="9"/>
    <w:pPr>
      <w:pBdr/>
      <w:spacing/>
      <w:ind/>
    </w:pPr>
    <w:rPr>
      <w:rFonts w:ascii="Arial" w:hAnsi="Arial" w:eastAsia="Arial" w:cs="Arial"/>
      <w:b/>
      <w:bCs/>
      <w:sz w:val="22"/>
      <w:szCs w:val="22"/>
    </w:rPr>
  </w:style>
  <w:style w:type="character" w:styleId="902" w:customStyle="1">
    <w:name w:val="Заголовок 7 Знак"/>
    <w:basedOn w:val="745"/>
    <w:link w:val="742"/>
    <w:uiPriority w:val="9"/>
    <w:pPr>
      <w:pBdr/>
      <w:spacing/>
      <w:ind/>
    </w:pPr>
    <w:rPr>
      <w:rFonts w:ascii="Arial" w:hAnsi="Arial" w:eastAsia="Arial" w:cs="Arial"/>
      <w:b/>
      <w:bCs/>
      <w:i/>
      <w:iCs/>
      <w:sz w:val="22"/>
      <w:szCs w:val="22"/>
    </w:rPr>
  </w:style>
  <w:style w:type="character" w:styleId="903" w:customStyle="1">
    <w:name w:val="Заголовок 8 Знак"/>
    <w:basedOn w:val="745"/>
    <w:link w:val="743"/>
    <w:uiPriority w:val="9"/>
    <w:pPr>
      <w:pBdr/>
      <w:spacing/>
      <w:ind/>
    </w:pPr>
    <w:rPr>
      <w:rFonts w:ascii="Arial" w:hAnsi="Arial" w:eastAsia="Arial" w:cs="Arial"/>
      <w:i/>
      <w:iCs/>
      <w:sz w:val="22"/>
      <w:szCs w:val="22"/>
    </w:rPr>
  </w:style>
  <w:style w:type="character" w:styleId="904" w:customStyle="1">
    <w:name w:val="Заголовок 9 Знак"/>
    <w:basedOn w:val="745"/>
    <w:link w:val="744"/>
    <w:uiPriority w:val="9"/>
    <w:pPr>
      <w:pBdr/>
      <w:spacing/>
      <w:ind/>
    </w:pPr>
    <w:rPr>
      <w:rFonts w:ascii="Arial" w:hAnsi="Arial" w:eastAsia="Arial" w:cs="Arial"/>
      <w:i/>
      <w:iCs/>
      <w:sz w:val="21"/>
      <w:szCs w:val="21"/>
    </w:rPr>
  </w:style>
  <w:style w:type="paragraph" w:styleId="905">
    <w:name w:val="List Paragraph"/>
    <w:basedOn w:val="735"/>
    <w:uiPriority w:val="34"/>
    <w:qFormat/>
    <w:pPr>
      <w:pBdr/>
      <w:spacing/>
      <w:ind w:left="720"/>
      <w:contextualSpacing w:val="true"/>
    </w:pPr>
  </w:style>
  <w:style w:type="paragraph" w:styleId="906">
    <w:name w:val="No Spacing"/>
    <w:uiPriority w:val="1"/>
    <w:qFormat/>
    <w:pPr>
      <w:pBdr/>
      <w:spacing w:after="0" w:line="240" w:lineRule="auto"/>
      <w:ind/>
    </w:pPr>
  </w:style>
  <w:style w:type="paragraph" w:styleId="907">
    <w:name w:val="Title"/>
    <w:basedOn w:val="735"/>
    <w:next w:val="735"/>
    <w:link w:val="908"/>
    <w:uiPriority w:val="10"/>
    <w:qFormat/>
    <w:pPr>
      <w:pBdr/>
      <w:spacing w:after="200" w:before="300"/>
      <w:ind/>
      <w:contextualSpacing w:val="true"/>
    </w:pPr>
    <w:rPr>
      <w:sz w:val="48"/>
      <w:szCs w:val="48"/>
    </w:rPr>
  </w:style>
  <w:style w:type="character" w:styleId="908" w:customStyle="1">
    <w:name w:val="Название Знак"/>
    <w:basedOn w:val="745"/>
    <w:link w:val="907"/>
    <w:uiPriority w:val="10"/>
    <w:pPr>
      <w:pBdr/>
      <w:spacing/>
      <w:ind/>
    </w:pPr>
    <w:rPr>
      <w:sz w:val="48"/>
      <w:szCs w:val="48"/>
    </w:rPr>
  </w:style>
  <w:style w:type="paragraph" w:styleId="909">
    <w:name w:val="Subtitle"/>
    <w:basedOn w:val="735"/>
    <w:next w:val="735"/>
    <w:link w:val="910"/>
    <w:uiPriority w:val="11"/>
    <w:qFormat/>
    <w:pPr>
      <w:pBdr/>
      <w:spacing w:after="200" w:before="200"/>
      <w:ind/>
    </w:pPr>
    <w:rPr>
      <w:sz w:val="24"/>
      <w:szCs w:val="24"/>
    </w:rPr>
  </w:style>
  <w:style w:type="character" w:styleId="910" w:customStyle="1">
    <w:name w:val="Подзаголовок Знак"/>
    <w:basedOn w:val="745"/>
    <w:link w:val="909"/>
    <w:uiPriority w:val="11"/>
    <w:pPr>
      <w:pBdr/>
      <w:spacing/>
      <w:ind/>
    </w:pPr>
    <w:rPr>
      <w:sz w:val="24"/>
      <w:szCs w:val="24"/>
    </w:rPr>
  </w:style>
  <w:style w:type="paragraph" w:styleId="911">
    <w:name w:val="Quote"/>
    <w:basedOn w:val="735"/>
    <w:next w:val="735"/>
    <w:link w:val="912"/>
    <w:uiPriority w:val="29"/>
    <w:qFormat/>
    <w:pPr>
      <w:pBdr/>
      <w:spacing/>
      <w:ind w:right="720" w:left="720"/>
    </w:pPr>
    <w:rPr>
      <w:i/>
    </w:rPr>
  </w:style>
  <w:style w:type="character" w:styleId="912" w:customStyle="1">
    <w:name w:val="Цитата 2 Знак"/>
    <w:link w:val="911"/>
    <w:uiPriority w:val="29"/>
    <w:pPr>
      <w:pBdr/>
      <w:spacing/>
      <w:ind/>
    </w:pPr>
    <w:rPr>
      <w:i/>
    </w:rPr>
  </w:style>
  <w:style w:type="paragraph" w:styleId="913">
    <w:name w:val="Intense Quote"/>
    <w:basedOn w:val="735"/>
    <w:next w:val="735"/>
    <w:link w:val="914"/>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14" w:customStyle="1">
    <w:name w:val="Выделенная цитата Знак"/>
    <w:link w:val="913"/>
    <w:uiPriority w:val="30"/>
    <w:pPr>
      <w:pBdr/>
      <w:spacing/>
      <w:ind/>
    </w:pPr>
    <w:rPr>
      <w:i/>
    </w:rPr>
  </w:style>
  <w:style w:type="paragraph" w:styleId="915">
    <w:name w:val="Header"/>
    <w:basedOn w:val="735"/>
    <w:link w:val="916"/>
    <w:uiPriority w:val="99"/>
    <w:unhideWhenUsed/>
    <w:pPr>
      <w:pBdr/>
      <w:tabs>
        <w:tab w:val="center" w:leader="none" w:pos="7143"/>
        <w:tab w:val="right" w:leader="none" w:pos="14287"/>
      </w:tabs>
      <w:spacing/>
      <w:ind/>
    </w:pPr>
  </w:style>
  <w:style w:type="character" w:styleId="916" w:customStyle="1">
    <w:name w:val="Верхний колонтитул Знак"/>
    <w:basedOn w:val="745"/>
    <w:link w:val="915"/>
    <w:uiPriority w:val="99"/>
    <w:pPr>
      <w:pBdr/>
      <w:spacing/>
      <w:ind/>
    </w:pPr>
  </w:style>
  <w:style w:type="paragraph" w:styleId="917">
    <w:name w:val="Footer"/>
    <w:basedOn w:val="735"/>
    <w:link w:val="918"/>
    <w:uiPriority w:val="99"/>
    <w:unhideWhenUsed/>
    <w:pPr>
      <w:pBdr/>
      <w:tabs>
        <w:tab w:val="center" w:leader="none" w:pos="7143"/>
        <w:tab w:val="right" w:leader="none" w:pos="14287"/>
      </w:tabs>
      <w:spacing/>
      <w:ind/>
    </w:pPr>
  </w:style>
  <w:style w:type="character" w:styleId="918" w:customStyle="1">
    <w:name w:val="Нижний колонтитул Знак"/>
    <w:basedOn w:val="745"/>
    <w:link w:val="917"/>
    <w:uiPriority w:val="99"/>
    <w:pPr>
      <w:pBdr/>
      <w:spacing/>
      <w:ind/>
    </w:pPr>
  </w:style>
  <w:style w:type="table" w:styleId="919">
    <w:name w:val="Table Grid"/>
    <w:basedOn w:val="746"/>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ned"/>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cBorders/>
      </w:tcPr>
    </w:tblStylePr>
    <w:tblStylePr w:type="band2Vert">
      <w:rPr>
        <w:rFonts w:ascii="Arial" w:hAnsi="Arial"/>
        <w:color w:val="404040"/>
        <w:sz w:val="22"/>
      </w:rPr>
      <w:pPr>
        <w:pBdr/>
        <w:spacing/>
        <w:ind/>
      </w:pPr>
      <w:tblPr>
        <w:tblBorders/>
      </w:tblPr>
      <w:tcPr>
        <w:shd w:val="clear" w:color="auto" w:fill="f2f2f2"/>
        <w:tcBorders/>
      </w:tcPr>
    </w:tblStylePr>
    <w:tblStylePr w:type="firstCol">
      <w:rPr>
        <w:rFonts w:ascii="Arial" w:hAnsi="Arial"/>
        <w:color w:val="f2f2f2"/>
        <w:sz w:val="22"/>
      </w:rPr>
      <w:pPr>
        <w:pBdr/>
        <w:spacing/>
        <w:ind/>
      </w:pPr>
      <w:tblPr>
        <w:tblBorders/>
      </w:tblPr>
      <w:tcPr>
        <w:shd w:val="clear" w:color="auto" w:fill="7f7f7f"/>
        <w:tcBorders/>
      </w:tcPr>
    </w:tblStylePr>
    <w:tblStylePr w:type="firstRow">
      <w:rPr>
        <w:rFonts w:ascii="Arial" w:hAnsi="Arial"/>
        <w:color w:val="f2f2f2"/>
        <w:sz w:val="22"/>
      </w:rPr>
      <w:pPr>
        <w:pBdr/>
        <w:spacing/>
        <w:ind/>
      </w:pPr>
      <w:tblPr>
        <w:tblBorders/>
      </w:tblPr>
      <w:tcPr>
        <w:shd w:val="clear" w:color="auto" w:fill="7f7f7f"/>
        <w:tcBorders/>
      </w:tcPr>
    </w:tblStylePr>
    <w:tblStylePr w:type="lastCol">
      <w:rPr>
        <w:rFonts w:ascii="Arial" w:hAnsi="Arial"/>
        <w:color w:val="f2f2f2"/>
        <w:sz w:val="22"/>
      </w:rPr>
      <w:pPr>
        <w:pBdr/>
        <w:spacing/>
        <w:ind/>
      </w:pPr>
      <w:tblPr>
        <w:tblBorders/>
      </w:tblPr>
      <w:tcPr>
        <w:shd w:val="clear" w:color="auto" w:fill="7f7f7f"/>
        <w:tcBorders/>
      </w:tcPr>
    </w:tblStylePr>
    <w:tblStylePr w:type="lastRow">
      <w:rPr>
        <w:rFonts w:ascii="Arial" w:hAnsi="Arial"/>
        <w:color w:val="f2f2f2"/>
        <w:sz w:val="22"/>
      </w:rPr>
      <w:pPr>
        <w:pBdr/>
        <w:spacing/>
        <w:ind/>
      </w:pPr>
      <w:tblPr>
        <w:tblBorders/>
      </w:tblPr>
      <w:tcPr>
        <w:shd w:val="clear" w:color="auto"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ned - Accent 1"/>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6d9f1"/>
        <w:tcBorders/>
      </w:tcPr>
    </w:tblStylePr>
    <w:tblStylePr w:type="band2Vert">
      <w:rPr>
        <w:rFonts w:ascii="Arial" w:hAnsi="Arial"/>
        <w:color w:val="404040"/>
        <w:sz w:val="22"/>
      </w:rPr>
      <w:pPr>
        <w:pBdr/>
        <w:spacing/>
        <w:ind/>
      </w:pPr>
      <w:tblPr>
        <w:tblBorders/>
      </w:tblPr>
      <w:tcPr>
        <w:shd w:val="clear" w:color="auto" w:fill="c6d9f1"/>
        <w:tcBorders/>
      </w:tcPr>
    </w:tblStylePr>
    <w:tblStylePr w:type="firstCol">
      <w:rPr>
        <w:rFonts w:ascii="Arial" w:hAnsi="Arial"/>
        <w:color w:val="f2f2f2"/>
        <w:sz w:val="22"/>
      </w:rPr>
      <w:pPr>
        <w:pBdr/>
        <w:spacing/>
        <w:ind/>
      </w:pPr>
      <w:tblPr>
        <w:tblBorders/>
      </w:tblPr>
      <w:tcPr>
        <w:shd w:val="clear" w:color="auto" w:fill="548dd4"/>
        <w:tcBorders/>
      </w:tcPr>
    </w:tblStylePr>
    <w:tblStylePr w:type="firstRow">
      <w:rPr>
        <w:rFonts w:ascii="Arial" w:hAnsi="Arial"/>
        <w:color w:val="f2f2f2"/>
        <w:sz w:val="22"/>
      </w:rPr>
      <w:pPr>
        <w:pBdr/>
        <w:spacing/>
        <w:ind/>
      </w:pPr>
      <w:tblPr>
        <w:tblBorders/>
      </w:tblPr>
      <w:tcPr>
        <w:shd w:val="clear" w:color="auto" w:fill="548dd4"/>
        <w:tcBorders/>
      </w:tcPr>
    </w:tblStylePr>
    <w:tblStylePr w:type="lastCol">
      <w:rPr>
        <w:rFonts w:ascii="Arial" w:hAnsi="Arial"/>
        <w:color w:val="f2f2f2"/>
        <w:sz w:val="22"/>
      </w:rPr>
      <w:pPr>
        <w:pBdr/>
        <w:spacing/>
        <w:ind/>
      </w:pPr>
      <w:tblPr>
        <w:tblBorders/>
      </w:tblPr>
      <w:tcPr>
        <w:shd w:val="clear" w:color="auto" w:fill="548dd4"/>
        <w:tcBorders/>
      </w:tcPr>
    </w:tblStylePr>
    <w:tblStylePr w:type="lastRow">
      <w:rPr>
        <w:rFonts w:ascii="Arial" w:hAnsi="Arial"/>
        <w:color w:val="f2f2f2"/>
        <w:sz w:val="22"/>
      </w:rPr>
      <w:pPr>
        <w:pBdr/>
        <w:spacing/>
        <w:ind/>
      </w:pPr>
      <w:tblPr>
        <w:tblBorders/>
      </w:tblPr>
      <w:tcPr>
        <w:shd w:val="clear" w:color="auto" w:fill="548dd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ned - Accent 2"/>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bdb"/>
        <w:tcBorders/>
      </w:tcPr>
    </w:tblStylePr>
    <w:tblStylePr w:type="band2Vert">
      <w:rPr>
        <w:rFonts w:ascii="Arial" w:hAnsi="Arial"/>
        <w:color w:val="404040"/>
        <w:sz w:val="22"/>
      </w:rPr>
      <w:pPr>
        <w:pBdr/>
        <w:spacing/>
        <w:ind/>
      </w:pPr>
      <w:tblPr>
        <w:tblBorders/>
      </w:tblPr>
      <w:tcPr>
        <w:shd w:val="clear" w:color="auto" w:fill="f2dbdb"/>
        <w:tcBorders/>
      </w:tcPr>
    </w:tblStylePr>
    <w:tblStylePr w:type="firstCol">
      <w:rPr>
        <w:rFonts w:ascii="Arial" w:hAnsi="Arial"/>
        <w:color w:val="f2f2f2"/>
        <w:sz w:val="22"/>
      </w:rPr>
      <w:pPr>
        <w:pBdr/>
        <w:spacing/>
        <w:ind/>
      </w:pPr>
      <w:tblPr>
        <w:tblBorders/>
      </w:tblPr>
      <w:tcPr>
        <w:shd w:val="clear" w:color="auto" w:fill="d99594"/>
        <w:tcBorders/>
      </w:tcPr>
    </w:tblStylePr>
    <w:tblStylePr w:type="firstRow">
      <w:rPr>
        <w:rFonts w:ascii="Arial" w:hAnsi="Arial"/>
        <w:color w:val="f2f2f2"/>
        <w:sz w:val="22"/>
      </w:rPr>
      <w:pPr>
        <w:pBdr/>
        <w:spacing/>
        <w:ind/>
      </w:pPr>
      <w:tblPr>
        <w:tblBorders/>
      </w:tblPr>
      <w:tcPr>
        <w:shd w:val="clear" w:color="auto" w:fill="d99594"/>
        <w:tcBorders/>
      </w:tcPr>
    </w:tblStylePr>
    <w:tblStylePr w:type="lastCol">
      <w:rPr>
        <w:rFonts w:ascii="Arial" w:hAnsi="Arial"/>
        <w:color w:val="f2f2f2"/>
        <w:sz w:val="22"/>
      </w:rPr>
      <w:pPr>
        <w:pBdr/>
        <w:spacing/>
        <w:ind/>
      </w:pPr>
      <w:tblPr>
        <w:tblBorders/>
      </w:tblPr>
      <w:tcPr>
        <w:shd w:val="clear" w:color="auto" w:fill="d99594"/>
        <w:tcBorders/>
      </w:tcPr>
    </w:tblStylePr>
    <w:tblStylePr w:type="lastRow">
      <w:rPr>
        <w:rFonts w:ascii="Arial" w:hAnsi="Arial"/>
        <w:color w:val="f2f2f2"/>
        <w:sz w:val="22"/>
      </w:rPr>
      <w:pPr>
        <w:pBdr/>
        <w:spacing/>
        <w:ind/>
      </w:pPr>
      <w:tblPr>
        <w:tblBorders/>
      </w:tblPr>
      <w:tcPr>
        <w:shd w:val="clear" w:color="auto" w:fill="d9959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ned - Accent 3"/>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d"/>
        <w:tcBorders/>
      </w:tcPr>
    </w:tblStylePr>
    <w:tblStylePr w:type="band2Vert">
      <w:rPr>
        <w:rFonts w:ascii="Arial" w:hAnsi="Arial"/>
        <w:color w:val="404040"/>
        <w:sz w:val="22"/>
      </w:rPr>
      <w:pPr>
        <w:pBdr/>
        <w:spacing/>
        <w:ind/>
      </w:pPr>
      <w:tblPr>
        <w:tblBorders/>
      </w:tblPr>
      <w:tcPr>
        <w:shd w:val="clear" w:color="auto" w:fill="eaf1dd"/>
        <w:tcBorders/>
      </w:tcPr>
    </w:tblStylePr>
    <w:tblStylePr w:type="firstCol">
      <w:rPr>
        <w:rFonts w:ascii="Arial" w:hAnsi="Arial"/>
        <w:color w:val="f2f2f2"/>
        <w:sz w:val="22"/>
      </w:rPr>
      <w:pPr>
        <w:pBdr/>
        <w:spacing/>
        <w:ind/>
      </w:pPr>
      <w:tblPr>
        <w:tblBorders/>
      </w:tblPr>
      <w:tcPr>
        <w:shd w:val="clear" w:color="auto" w:fill="9bb559"/>
        <w:tcBorders/>
      </w:tcPr>
    </w:tblStylePr>
    <w:tblStylePr w:type="firstRow">
      <w:rPr>
        <w:rFonts w:ascii="Arial" w:hAnsi="Arial"/>
        <w:color w:val="f2f2f2"/>
        <w:sz w:val="22"/>
      </w:rPr>
      <w:pPr>
        <w:pBdr/>
        <w:spacing/>
        <w:ind/>
      </w:pPr>
      <w:tblPr>
        <w:tblBorders/>
      </w:tblPr>
      <w:tcPr>
        <w:shd w:val="clear" w:color="auto" w:fill="9bb559"/>
        <w:tcBorders/>
      </w:tcPr>
    </w:tblStylePr>
    <w:tblStylePr w:type="lastCol">
      <w:rPr>
        <w:rFonts w:ascii="Arial" w:hAnsi="Arial"/>
        <w:color w:val="f2f2f2"/>
        <w:sz w:val="22"/>
      </w:rPr>
      <w:pPr>
        <w:pBdr/>
        <w:spacing/>
        <w:ind/>
      </w:pPr>
      <w:tblPr>
        <w:tblBorders/>
      </w:tblPr>
      <w:tcPr>
        <w:shd w:val="clear" w:color="auto" w:fill="9bb559"/>
        <w:tcBorders/>
      </w:tcPr>
    </w:tblStylePr>
    <w:tblStylePr w:type="lastRow">
      <w:rPr>
        <w:rFonts w:ascii="Arial" w:hAnsi="Arial"/>
        <w:color w:val="f2f2f2"/>
        <w:sz w:val="22"/>
      </w:rPr>
      <w:pPr>
        <w:pBdr/>
        <w:spacing/>
        <w:ind/>
      </w:pPr>
      <w:tblPr>
        <w:tblBorders/>
      </w:tblPr>
      <w:tcPr>
        <w:shd w:val="clear" w:color="auto" w:fill="9bb5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ned - Accent 4"/>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cBorders/>
      </w:tcPr>
    </w:tblStylePr>
    <w:tblStylePr w:type="band2Vert">
      <w:rPr>
        <w:rFonts w:ascii="Arial" w:hAnsi="Arial"/>
        <w:color w:val="404040"/>
        <w:sz w:val="22"/>
      </w:rPr>
      <w:pPr>
        <w:pBdr/>
        <w:spacing/>
        <w:ind/>
      </w:pPr>
      <w:tblPr>
        <w:tblBorders/>
      </w:tblPr>
      <w:tcPr>
        <w:shd w:val="clear" w:color="auto" w:fill="e5dfec"/>
        <w:tcBorders/>
      </w:tcPr>
    </w:tblStylePr>
    <w:tblStylePr w:type="firstCol">
      <w:rPr>
        <w:rFonts w:ascii="Arial" w:hAnsi="Arial"/>
        <w:color w:val="f2f2f2"/>
        <w:sz w:val="22"/>
      </w:rPr>
      <w:pPr>
        <w:pBdr/>
        <w:spacing/>
        <w:ind/>
      </w:pPr>
      <w:tblPr>
        <w:tblBorders/>
      </w:tblPr>
      <w:tcPr>
        <w:shd w:val="clear" w:color="auto" w:fill="b2a1c7"/>
        <w:tcBorders/>
      </w:tcPr>
    </w:tblStylePr>
    <w:tblStylePr w:type="firstRow">
      <w:rPr>
        <w:rFonts w:ascii="Arial" w:hAnsi="Arial"/>
        <w:color w:val="f2f2f2"/>
        <w:sz w:val="22"/>
      </w:rPr>
      <w:pPr>
        <w:pBdr/>
        <w:spacing/>
        <w:ind/>
      </w:pPr>
      <w:tblPr>
        <w:tblBorders/>
      </w:tblPr>
      <w:tcPr>
        <w:shd w:val="clear" w:color="auto" w:fill="b2a1c7"/>
        <w:tcBorders/>
      </w:tcPr>
    </w:tblStylePr>
    <w:tblStylePr w:type="lastCol">
      <w:rPr>
        <w:rFonts w:ascii="Arial" w:hAnsi="Arial"/>
        <w:color w:val="f2f2f2"/>
        <w:sz w:val="22"/>
      </w:rPr>
      <w:pPr>
        <w:pBdr/>
        <w:spacing/>
        <w:ind/>
      </w:pPr>
      <w:tblPr>
        <w:tblBorders/>
      </w:tblPr>
      <w:tcPr>
        <w:shd w:val="clear" w:color="auto" w:fill="b2a1c7"/>
        <w:tcBorders/>
      </w:tcPr>
    </w:tblStylePr>
    <w:tblStylePr w:type="lastRow">
      <w:rPr>
        <w:rFonts w:ascii="Arial" w:hAnsi="Arial"/>
        <w:color w:val="f2f2f2"/>
        <w:sz w:val="22"/>
      </w:rPr>
      <w:pPr>
        <w:pBdr/>
        <w:spacing/>
        <w:ind/>
      </w:pPr>
      <w:tblPr>
        <w:tblBorders/>
      </w:tblPr>
      <w:tcPr>
        <w:shd w:val="clear" w:color="auto" w:fill="b2a1c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ned - Accent 5"/>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cBorders/>
      </w:tcPr>
    </w:tblStylePr>
    <w:tblStylePr w:type="band2Vert">
      <w:rPr>
        <w:rFonts w:ascii="Arial" w:hAnsi="Arial"/>
        <w:color w:val="404040"/>
        <w:sz w:val="22"/>
      </w:rPr>
      <w:pPr>
        <w:pBdr/>
        <w:spacing/>
        <w:ind/>
      </w:pPr>
      <w:tblPr>
        <w:tblBorders/>
      </w:tblPr>
      <w:tcPr>
        <w:shd w:val="clear" w:color="auto" w:fill="daeef3"/>
        <w:tcBorders/>
      </w:tcPr>
    </w:tblStylePr>
    <w:tblStylePr w:type="firstCol">
      <w:rPr>
        <w:rFonts w:ascii="Arial" w:hAnsi="Arial"/>
        <w:color w:val="f2f2f2"/>
        <w:sz w:val="22"/>
      </w:rPr>
      <w:pPr>
        <w:pBdr/>
        <w:spacing/>
        <w:ind/>
      </w:pPr>
      <w:tblPr>
        <w:tblBorders/>
      </w:tblPr>
      <w:tcPr>
        <w:shd w:val="clear" w:color="auto" w:fill="4bacc6"/>
        <w:tcBorders/>
      </w:tcPr>
    </w:tblStylePr>
    <w:tblStylePr w:type="firstRow">
      <w:rPr>
        <w:rFonts w:ascii="Arial" w:hAnsi="Arial"/>
        <w:color w:val="f2f2f2"/>
        <w:sz w:val="22"/>
      </w:rPr>
      <w:pPr>
        <w:pBdr/>
        <w:spacing/>
        <w:ind/>
      </w:pPr>
      <w:tblPr>
        <w:tblBorders/>
      </w:tblPr>
      <w:tcPr>
        <w:shd w:val="clear" w:color="auto" w:fill="4bacc6"/>
        <w:tcBorders/>
      </w:tcPr>
    </w:tblStylePr>
    <w:tblStylePr w:type="lastCol">
      <w:rPr>
        <w:rFonts w:ascii="Arial" w:hAnsi="Arial"/>
        <w:color w:val="f2f2f2"/>
        <w:sz w:val="22"/>
      </w:rPr>
      <w:pPr>
        <w:pBdr/>
        <w:spacing/>
        <w:ind/>
      </w:pPr>
      <w:tblPr>
        <w:tblBorders/>
      </w:tblPr>
      <w:tcPr>
        <w:shd w:val="clear" w:color="auto" w:fill="4bacc6"/>
        <w:tcBorders/>
      </w:tcPr>
    </w:tblStylePr>
    <w:tblStylePr w:type="lastRow">
      <w:rPr>
        <w:rFonts w:ascii="Arial" w:hAnsi="Arial"/>
        <w:color w:val="f2f2f2"/>
        <w:sz w:val="22"/>
      </w:rPr>
      <w:pPr>
        <w:pBdr/>
        <w:spacing/>
        <w:ind/>
      </w:pPr>
      <w:tblPr>
        <w:tblBorders/>
      </w:tblPr>
      <w:tcPr>
        <w:shd w:val="clear" w:color="auto"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ned - Accent 6"/>
    <w:basedOn w:val="746"/>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9"/>
        <w:tcBorders/>
      </w:tcPr>
    </w:tblStylePr>
    <w:tblStylePr w:type="band2Vert">
      <w:rPr>
        <w:rFonts w:ascii="Arial" w:hAnsi="Arial"/>
        <w:color w:val="404040"/>
        <w:sz w:val="22"/>
      </w:rPr>
      <w:pPr>
        <w:pBdr/>
        <w:spacing/>
        <w:ind/>
      </w:pPr>
      <w:tblPr>
        <w:tblBorders/>
      </w:tblPr>
      <w:tcPr>
        <w:shd w:val="clear" w:color="auto" w:fill="fde9d9"/>
        <w:tcBorders/>
      </w:tcPr>
    </w:tblStylePr>
    <w:tblStylePr w:type="firstCol">
      <w:rPr>
        <w:rFonts w:ascii="Arial" w:hAnsi="Arial"/>
        <w:color w:val="f2f2f2"/>
        <w:sz w:val="22"/>
      </w:rPr>
      <w:pPr>
        <w:pBdr/>
        <w:spacing/>
        <w:ind/>
      </w:pPr>
      <w:tblPr>
        <w:tblBorders/>
      </w:tblPr>
      <w:tcPr>
        <w:shd w:val="clear" w:color="auto" w:fill="f79646"/>
        <w:tcBorders/>
      </w:tcPr>
    </w:tblStylePr>
    <w:tblStylePr w:type="firstRow">
      <w:rPr>
        <w:rFonts w:ascii="Arial" w:hAnsi="Arial"/>
        <w:color w:val="f2f2f2"/>
        <w:sz w:val="22"/>
      </w:rPr>
      <w:pPr>
        <w:pBdr/>
        <w:spacing/>
        <w:ind/>
      </w:pPr>
      <w:tblPr>
        <w:tblBorders/>
      </w:tblPr>
      <w:tcPr>
        <w:shd w:val="clear" w:color="auto" w:fill="f79646"/>
        <w:tcBorders/>
      </w:tcPr>
    </w:tblStylePr>
    <w:tblStylePr w:type="lastCol">
      <w:rPr>
        <w:rFonts w:ascii="Arial" w:hAnsi="Arial"/>
        <w:color w:val="f2f2f2"/>
        <w:sz w:val="22"/>
      </w:rPr>
      <w:pPr>
        <w:pBdr/>
        <w:spacing/>
        <w:ind/>
      </w:pPr>
      <w:tblPr>
        <w:tblBorders/>
      </w:tblPr>
      <w:tcPr>
        <w:shd w:val="clear" w:color="auto" w:fill="f79646"/>
        <w:tcBorders/>
      </w:tcPr>
    </w:tblStylePr>
    <w:tblStylePr w:type="lastRow">
      <w:rPr>
        <w:rFonts w:ascii="Arial" w:hAnsi="Arial"/>
        <w:color w:val="f2f2f2"/>
        <w:sz w:val="22"/>
      </w:rPr>
      <w:pPr>
        <w:pBdr/>
        <w:spacing/>
        <w:ind/>
      </w:pPr>
      <w:tblPr>
        <w:tblBorders/>
      </w:tblPr>
      <w:tcPr>
        <w:shd w:val="clear" w:color="auto"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Bordered"/>
    <w:basedOn w:val="746"/>
    <w:uiPriority w:val="99"/>
    <w:pPr>
      <w:pBdr/>
      <w:spacing w:after="0" w:line="240" w:lineRule="auto"/>
      <w:ind/>
    </w:p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d9d9d9" w:sz="4" w:space="0"/>
          <w:left w:val="single" w:color="d9d9d9" w:sz="4" w:space="0"/>
          <w:bottom w:val="single" w:color="d9d9d9" w:sz="4" w:space="0"/>
          <w:right w:val="single" w:color="d9d9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7f7f7f" w:sz="12" w:space="0"/>
        </w:tcBorders>
      </w:tcPr>
    </w:tblStylePr>
    <w:tblStylePr w:type="firstRow">
      <w:rPr>
        <w:rFonts w:ascii="Arial" w:hAnsi="Arial"/>
        <w:color w:val="404040"/>
        <w:sz w:val="22"/>
      </w:rPr>
      <w:pPr>
        <w:pBdr/>
        <w:spacing/>
        <w:ind/>
      </w:pPr>
      <w:tblPr>
        <w:tblBorders/>
      </w:tblPr>
      <w:tcPr>
        <w:tcBorders>
          <w:bottom w:val="single" w:color="7f7f7f" w:sz="12" w:space="0"/>
        </w:tcBorders>
      </w:tcPr>
    </w:tblStylePr>
    <w:tblStylePr w:type="lastCol">
      <w:rPr>
        <w:rFonts w:ascii="Arial" w:hAnsi="Arial"/>
        <w:color w:val="404040"/>
        <w:sz w:val="22"/>
      </w:rPr>
      <w:pPr>
        <w:pBdr/>
        <w:spacing/>
        <w:ind/>
      </w:pPr>
      <w:tblPr>
        <w:tblBorders/>
      </w:tblPr>
      <w:tcPr>
        <w:tcBorders>
          <w:left w:val="single" w:color="7f7f7f" w:sz="12" w:space="0"/>
        </w:tcBorders>
      </w:tcPr>
    </w:tblStylePr>
    <w:tblStylePr w:type="lastRow">
      <w:rPr>
        <w:rFonts w:ascii="Arial" w:hAnsi="Arial"/>
        <w:color w:val="404040"/>
        <w:sz w:val="22"/>
      </w:rPr>
      <w:pPr>
        <w:pBdr/>
        <w:spacing/>
        <w:ind/>
      </w:pPr>
      <w:tblPr>
        <w:tblBorders/>
      </w:tblPr>
      <w:tcPr>
        <w:tcBorders>
          <w:top w:val="single" w:color="7f7f7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Bordered - Accent 1"/>
    <w:basedOn w:val="746"/>
    <w:uiPriority w:val="99"/>
    <w:pPr>
      <w:pBdr/>
      <w:spacing w:after="0" w:line="240" w:lineRule="auto"/>
      <w:ind/>
    </w:pPr>
    <w:tblPr>
      <w:tblStyleRowBandSize w:val="1"/>
      <w:tblStyleColBandSize w:val="1"/>
      <w:tblInd w:w="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b8cce4" w:sz="4" w:space="0"/>
          <w:left w:val="single" w:color="b8cce4" w:sz="4" w:space="0"/>
          <w:bottom w:val="single" w:color="b8cce4" w:sz="4" w:space="0"/>
          <w:right w:val="single" w:color="b8cce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4f81bd" w:sz="12" w:space="0"/>
        </w:tcBorders>
      </w:tcPr>
    </w:tblStylePr>
    <w:tblStylePr w:type="firstRow">
      <w:rPr>
        <w:rFonts w:ascii="Arial" w:hAnsi="Arial"/>
        <w:color w:val="404040"/>
        <w:sz w:val="22"/>
      </w:rPr>
      <w:pPr>
        <w:pBdr/>
        <w:spacing/>
        <w:ind/>
      </w:pPr>
      <w:tblPr>
        <w:tblBorders/>
      </w:tblPr>
      <w:tcPr>
        <w:tcBorders>
          <w:bottom w:val="single" w:color="4f81bd" w:sz="12" w:space="0"/>
        </w:tcBorders>
      </w:tcPr>
    </w:tblStylePr>
    <w:tblStylePr w:type="lastCol">
      <w:rPr>
        <w:rFonts w:ascii="Arial" w:hAnsi="Arial"/>
        <w:color w:val="404040"/>
        <w:sz w:val="22"/>
      </w:rPr>
      <w:pPr>
        <w:pBdr/>
        <w:spacing/>
        <w:ind/>
      </w:pPr>
      <w:tblPr>
        <w:tblBorders/>
      </w:tblPr>
      <w:tcPr>
        <w:tcBorders>
          <w:left w:val="single" w:color="4f81bd" w:sz="12" w:space="0"/>
        </w:tcBorders>
      </w:tcPr>
    </w:tblStylePr>
    <w:tblStylePr w:type="lastRow">
      <w:rPr>
        <w:rFonts w:ascii="Arial" w:hAnsi="Arial"/>
        <w:color w:val="404040"/>
        <w:sz w:val="22"/>
      </w:rPr>
      <w:pPr>
        <w:pBdr/>
        <w:spacing/>
        <w:ind/>
      </w:pPr>
      <w:tblPr>
        <w:tblBorders/>
      </w:tblPr>
      <w:tcPr>
        <w:tcBorders>
          <w:top w:val="single" w:color="4f81bd"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Bordered - Accent 2"/>
    <w:basedOn w:val="746"/>
    <w:uiPriority w:val="99"/>
    <w:pPr>
      <w:pBdr/>
      <w:spacing w:after="0" w:line="240" w:lineRule="auto"/>
      <w:ind/>
    </w:pPr>
    <w:tblPr>
      <w:tblStyleRowBandSize w:val="1"/>
      <w:tblStyleColBandSize w:val="1"/>
      <w:tblInd w:w="0" w:type="dxa"/>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e5b8b7" w:sz="4" w:space="0"/>
          <w:left w:val="single" w:color="e5b8b7" w:sz="4" w:space="0"/>
          <w:bottom w:val="single" w:color="e5b8b7" w:sz="4" w:space="0"/>
          <w:right w:val="single" w:color="e5b8b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d99594" w:sz="12" w:space="0"/>
        </w:tcBorders>
      </w:tcPr>
    </w:tblStylePr>
    <w:tblStylePr w:type="firstRow">
      <w:rPr>
        <w:rFonts w:ascii="Arial" w:hAnsi="Arial"/>
        <w:color w:val="404040"/>
        <w:sz w:val="22"/>
      </w:rPr>
      <w:pPr>
        <w:pBdr/>
        <w:spacing/>
        <w:ind/>
      </w:pPr>
      <w:tblPr>
        <w:tblBorders/>
      </w:tblPr>
      <w:tcPr>
        <w:tcBorders>
          <w:bottom w:val="single" w:color="d99594" w:sz="12" w:space="0"/>
        </w:tcBorders>
      </w:tcPr>
    </w:tblStylePr>
    <w:tblStylePr w:type="lastCol">
      <w:rPr>
        <w:rFonts w:ascii="Arial" w:hAnsi="Arial"/>
        <w:color w:val="404040"/>
        <w:sz w:val="22"/>
      </w:rPr>
      <w:pPr>
        <w:pBdr/>
        <w:spacing/>
        <w:ind/>
      </w:pPr>
      <w:tblPr>
        <w:tblBorders/>
      </w:tblPr>
      <w:tcPr>
        <w:tcBorders>
          <w:left w:val="single" w:color="d99594" w:sz="12" w:space="0"/>
        </w:tcBorders>
      </w:tcPr>
    </w:tblStylePr>
    <w:tblStylePr w:type="lastRow">
      <w:rPr>
        <w:rFonts w:ascii="Arial" w:hAnsi="Arial"/>
        <w:color w:val="404040"/>
        <w:sz w:val="22"/>
      </w:rPr>
      <w:pPr>
        <w:pBdr/>
        <w:spacing/>
        <w:ind/>
      </w:pPr>
      <w:tblPr>
        <w:tblBorders/>
      </w:tblPr>
      <w:tcPr>
        <w:tcBorders>
          <w:top w:val="single" w:color="d9959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Bordered - Accent 3"/>
    <w:basedOn w:val="746"/>
    <w:uiPriority w:val="99"/>
    <w:pPr>
      <w:pBdr/>
      <w:spacing w:after="0" w:line="240" w:lineRule="auto"/>
      <w:ind/>
    </w:pPr>
    <w:tblPr>
      <w:tblStyleRowBandSize w:val="1"/>
      <w:tblStyleColBandSize w:val="1"/>
      <w:tblInd w:w="0" w:type="dxa"/>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d6e3bc" w:sz="4" w:space="0"/>
          <w:left w:val="single" w:color="d6e3bc" w:sz="4" w:space="0"/>
          <w:bottom w:val="single" w:color="d6e3bc" w:sz="4" w:space="0"/>
          <w:right w:val="single" w:color="d6e3bc"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c2d69b" w:sz="12" w:space="0"/>
        </w:tcBorders>
      </w:tcPr>
    </w:tblStylePr>
    <w:tblStylePr w:type="firstRow">
      <w:rPr>
        <w:rFonts w:ascii="Arial" w:hAnsi="Arial"/>
        <w:color w:val="404040"/>
        <w:sz w:val="22"/>
      </w:rPr>
      <w:pPr>
        <w:pBdr/>
        <w:spacing/>
        <w:ind/>
      </w:pPr>
      <w:tblPr>
        <w:tblBorders/>
      </w:tblPr>
      <w:tcPr>
        <w:tcBorders>
          <w:bottom w:val="single" w:color="c2d69b" w:sz="12" w:space="0"/>
        </w:tcBorders>
      </w:tcPr>
    </w:tblStylePr>
    <w:tblStylePr w:type="lastCol">
      <w:rPr>
        <w:rFonts w:ascii="Arial" w:hAnsi="Arial"/>
        <w:color w:val="404040"/>
        <w:sz w:val="22"/>
      </w:rPr>
      <w:pPr>
        <w:pBdr/>
        <w:spacing/>
        <w:ind/>
      </w:pPr>
      <w:tblPr>
        <w:tblBorders/>
      </w:tblPr>
      <w:tcPr>
        <w:tcBorders>
          <w:left w:val="single" w:color="c2d69b" w:sz="12" w:space="0"/>
        </w:tcBorders>
      </w:tcPr>
    </w:tblStylePr>
    <w:tblStylePr w:type="lastRow">
      <w:rPr>
        <w:rFonts w:ascii="Arial" w:hAnsi="Arial"/>
        <w:color w:val="404040"/>
        <w:sz w:val="22"/>
      </w:rPr>
      <w:pPr>
        <w:pBdr/>
        <w:spacing/>
        <w:ind/>
      </w:pPr>
      <w:tblPr>
        <w:tblBorders/>
      </w:tblPr>
      <w:tcPr>
        <w:tcBorders>
          <w:top w:val="single" w:color="c2d69b"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Bordered - Accent 4"/>
    <w:basedOn w:val="746"/>
    <w:uiPriority w:val="99"/>
    <w:pPr>
      <w:pBdr/>
      <w:spacing w:after="0" w:line="240" w:lineRule="auto"/>
      <w:ind/>
    </w:pPr>
    <w:tblPr>
      <w:tblStyleRowBandSize w:val="1"/>
      <w:tblStyleColBandSize w:val="1"/>
      <w:tblInd w:w="0" w:type="dxa"/>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ccc0d9" w:sz="4" w:space="0"/>
          <w:left w:val="single" w:color="ccc0d9" w:sz="4" w:space="0"/>
          <w:bottom w:val="single" w:color="ccc0d9" w:sz="4" w:space="0"/>
          <w:right w:val="single" w:color="ccc0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b2a1c7" w:sz="12" w:space="0"/>
        </w:tcBorders>
      </w:tcPr>
    </w:tblStylePr>
    <w:tblStylePr w:type="firstRow">
      <w:rPr>
        <w:rFonts w:ascii="Arial" w:hAnsi="Arial"/>
        <w:color w:val="404040"/>
        <w:sz w:val="22"/>
      </w:rPr>
      <w:pPr>
        <w:pBdr/>
        <w:spacing/>
        <w:ind/>
      </w:pPr>
      <w:tblPr>
        <w:tblBorders/>
      </w:tblPr>
      <w:tcPr>
        <w:tcBorders>
          <w:bottom w:val="single" w:color="b2a1c7" w:sz="12" w:space="0"/>
        </w:tcBorders>
      </w:tcPr>
    </w:tblStylePr>
    <w:tblStylePr w:type="lastCol">
      <w:rPr>
        <w:rFonts w:ascii="Arial" w:hAnsi="Arial"/>
        <w:color w:val="404040"/>
        <w:sz w:val="22"/>
      </w:rPr>
      <w:pPr>
        <w:pBdr/>
        <w:spacing/>
        <w:ind/>
      </w:pPr>
      <w:tblPr>
        <w:tblBorders/>
      </w:tblPr>
      <w:tcPr>
        <w:tcBorders>
          <w:left w:val="single" w:color="b2a1c7" w:sz="12" w:space="0"/>
        </w:tcBorders>
      </w:tcPr>
    </w:tblStylePr>
    <w:tblStylePr w:type="lastRow">
      <w:rPr>
        <w:rFonts w:ascii="Arial" w:hAnsi="Arial"/>
        <w:color w:val="404040"/>
        <w:sz w:val="22"/>
      </w:rPr>
      <w:pPr>
        <w:pBdr/>
        <w:spacing/>
        <w:ind/>
      </w:pPr>
      <w:tblPr>
        <w:tblBorders/>
      </w:tblPr>
      <w:tcPr>
        <w:tcBorders>
          <w:top w:val="single" w:color="b2a1c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Bordered - Accent 5"/>
    <w:basedOn w:val="746"/>
    <w:uiPriority w:val="99"/>
    <w:pPr>
      <w:pBdr/>
      <w:spacing w:after="0" w:line="240" w:lineRule="auto"/>
      <w:ind/>
    </w:p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b6dde8" w:sz="4" w:space="0"/>
          <w:left w:val="single" w:color="b6dde8" w:sz="4" w:space="0"/>
          <w:bottom w:val="single" w:color="b6dde8" w:sz="4" w:space="0"/>
          <w:right w:val="single" w:color="b6dde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92cddc" w:sz="12" w:space="0"/>
        </w:tcBorders>
      </w:tcPr>
    </w:tblStylePr>
    <w:tblStylePr w:type="firstRow">
      <w:rPr>
        <w:rFonts w:ascii="Arial" w:hAnsi="Arial"/>
        <w:color w:val="404040"/>
        <w:sz w:val="22"/>
      </w:rPr>
      <w:pPr>
        <w:pBdr/>
        <w:spacing/>
        <w:ind/>
      </w:pPr>
      <w:tblPr>
        <w:tblBorders/>
      </w:tblPr>
      <w:tcPr>
        <w:tcBorders>
          <w:bottom w:val="single" w:color="92cddc" w:sz="12" w:space="0"/>
        </w:tcBorders>
      </w:tcPr>
    </w:tblStylePr>
    <w:tblStylePr w:type="lastCol">
      <w:rPr>
        <w:rFonts w:ascii="Arial" w:hAnsi="Arial"/>
        <w:color w:val="404040"/>
        <w:sz w:val="22"/>
      </w:rPr>
      <w:pPr>
        <w:pBdr/>
        <w:spacing/>
        <w:ind/>
      </w:pPr>
      <w:tblPr>
        <w:tblBorders/>
      </w:tblPr>
      <w:tcPr>
        <w:tcBorders>
          <w:left w:val="single" w:color="92cddc" w:sz="12" w:space="0"/>
        </w:tcBorders>
      </w:tcPr>
    </w:tblStylePr>
    <w:tblStylePr w:type="lastRow">
      <w:rPr>
        <w:rFonts w:ascii="Arial" w:hAnsi="Arial"/>
        <w:color w:val="404040"/>
        <w:sz w:val="22"/>
      </w:rPr>
      <w:pPr>
        <w:pBdr/>
        <w:spacing/>
        <w:ind/>
      </w:pPr>
      <w:tblPr>
        <w:tblBorders/>
      </w:tblPr>
      <w:tcPr>
        <w:tcBorders>
          <w:top w:val="single" w:color="92cddc"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Bordered - Accent 6"/>
    <w:basedOn w:val="746"/>
    <w:uiPriority w:val="99"/>
    <w:pPr>
      <w:pBdr/>
      <w:spacing w:after="0" w:line="240" w:lineRule="auto"/>
      <w:ind/>
    </w:p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fbd4b4" w:sz="4" w:space="0"/>
          <w:left w:val="single" w:color="fbd4b4" w:sz="4" w:space="0"/>
          <w:bottom w:val="single" w:color="fbd4b4" w:sz="4" w:space="0"/>
          <w:right w:val="single" w:color="fbd4b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fabf8f" w:sz="12" w:space="0"/>
        </w:tcBorders>
      </w:tcPr>
    </w:tblStylePr>
    <w:tblStylePr w:type="firstRow">
      <w:rPr>
        <w:rFonts w:ascii="Arial" w:hAnsi="Arial"/>
        <w:color w:val="404040"/>
        <w:sz w:val="22"/>
      </w:rPr>
      <w:pPr>
        <w:pBdr/>
        <w:spacing/>
        <w:ind/>
      </w:pPr>
      <w:tblPr>
        <w:tblBorders/>
      </w:tblPr>
      <w:tcPr>
        <w:tcBorders>
          <w:bottom w:val="single" w:color="fabf8f" w:sz="12" w:space="0"/>
        </w:tcBorders>
      </w:tcPr>
    </w:tblStylePr>
    <w:tblStylePr w:type="lastCol">
      <w:rPr>
        <w:rFonts w:ascii="Arial" w:hAnsi="Arial"/>
        <w:color w:val="404040"/>
        <w:sz w:val="22"/>
      </w:rPr>
      <w:pPr>
        <w:pBdr/>
        <w:spacing/>
        <w:ind/>
      </w:pPr>
      <w:tblPr>
        <w:tblBorders/>
      </w:tblPr>
      <w:tcPr>
        <w:tcBorders>
          <w:left w:val="single" w:color="fabf8f" w:sz="12" w:space="0"/>
        </w:tcBorders>
      </w:tcPr>
    </w:tblStylePr>
    <w:tblStylePr w:type="lastRow">
      <w:rPr>
        <w:rFonts w:ascii="Arial" w:hAnsi="Arial"/>
        <w:color w:val="404040"/>
        <w:sz w:val="22"/>
      </w:rPr>
      <w:pPr>
        <w:pBdr/>
        <w:spacing/>
        <w:ind/>
      </w:pPr>
      <w:tblPr>
        <w:tblBorders/>
      </w:tblPr>
      <w:tcPr>
        <w:tcBorders>
          <w:top w:val="single" w:color="fabf8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Bordered &amp; Lined"/>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cBorders/>
      </w:tcPr>
    </w:tblStylePr>
    <w:tblStylePr w:type="band2Vert">
      <w:rPr>
        <w:rFonts w:ascii="Arial" w:hAnsi="Arial"/>
        <w:color w:val="404040"/>
        <w:sz w:val="22"/>
      </w:rPr>
      <w:pPr>
        <w:pBdr/>
        <w:spacing/>
        <w:ind/>
      </w:pPr>
      <w:tblPr>
        <w:tblBorders/>
      </w:tblPr>
      <w:tcPr>
        <w:shd w:val="clear" w:color="auto" w:fill="d9d9d9"/>
        <w:tcBorders/>
      </w:tcPr>
    </w:tblStylePr>
    <w:tblStylePr w:type="firstCol">
      <w:rPr>
        <w:rFonts w:ascii="Arial" w:hAnsi="Arial"/>
        <w:color w:val="f2f2f2"/>
        <w:sz w:val="22"/>
      </w:rPr>
      <w:pPr>
        <w:pBdr/>
        <w:spacing/>
        <w:ind/>
      </w:pPr>
      <w:tblPr>
        <w:tblBorders/>
      </w:tblPr>
      <w:tcPr>
        <w:shd w:val="clear" w:color="auto" w:fill="7f7f7f"/>
        <w:tcBorders/>
      </w:tcPr>
    </w:tblStylePr>
    <w:tblStylePr w:type="firstRow">
      <w:rPr>
        <w:rFonts w:ascii="Arial" w:hAnsi="Arial"/>
        <w:color w:val="f2f2f2"/>
        <w:sz w:val="22"/>
      </w:rPr>
      <w:pPr>
        <w:pBdr/>
        <w:spacing/>
        <w:ind/>
      </w:pPr>
      <w:tblPr>
        <w:tblBorders/>
      </w:tblPr>
      <w:tcPr>
        <w:shd w:val="clear" w:color="auto" w:fill="7f7f7f"/>
        <w:tcBorders/>
      </w:tcPr>
    </w:tblStylePr>
    <w:tblStylePr w:type="lastCol">
      <w:rPr>
        <w:rFonts w:ascii="Arial" w:hAnsi="Arial"/>
        <w:color w:val="f2f2f2"/>
        <w:sz w:val="22"/>
      </w:rPr>
      <w:pPr>
        <w:pBdr/>
        <w:spacing/>
        <w:ind/>
      </w:pPr>
      <w:tblPr>
        <w:tblBorders/>
      </w:tblPr>
      <w:tcPr>
        <w:shd w:val="clear" w:color="auto" w:fill="7f7f7f"/>
        <w:tcBorders/>
      </w:tcPr>
    </w:tblStylePr>
    <w:tblStylePr w:type="lastRow">
      <w:rPr>
        <w:rFonts w:ascii="Arial" w:hAnsi="Arial"/>
        <w:color w:val="f2f2f2"/>
        <w:sz w:val="22"/>
      </w:rPr>
      <w:pPr>
        <w:pBdr/>
        <w:spacing/>
        <w:ind/>
      </w:pPr>
      <w:tblPr>
        <w:tblBorders/>
      </w:tblPr>
      <w:tcPr>
        <w:shd w:val="clear" w:color="auto"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Bordered &amp; Lined - Accent 1"/>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6d9f1"/>
        <w:tcBorders/>
      </w:tcPr>
    </w:tblStylePr>
    <w:tblStylePr w:type="band2Vert">
      <w:rPr>
        <w:rFonts w:ascii="Arial" w:hAnsi="Arial"/>
        <w:color w:val="404040"/>
        <w:sz w:val="22"/>
      </w:rPr>
      <w:pPr>
        <w:pBdr/>
        <w:spacing/>
        <w:ind/>
      </w:pPr>
      <w:tblPr>
        <w:tblBorders/>
      </w:tblPr>
      <w:tcPr>
        <w:shd w:val="clear" w:color="auto" w:fill="c6d9f1"/>
        <w:tcBorders/>
      </w:tcPr>
    </w:tblStylePr>
    <w:tblStylePr w:type="firstCol">
      <w:rPr>
        <w:rFonts w:ascii="Arial" w:hAnsi="Arial"/>
        <w:color w:val="f2f2f2"/>
        <w:sz w:val="22"/>
      </w:rPr>
      <w:pPr>
        <w:pBdr/>
        <w:spacing/>
        <w:ind/>
      </w:pPr>
      <w:tblPr>
        <w:tblBorders/>
      </w:tblPr>
      <w:tcPr>
        <w:shd w:val="clear" w:color="auto" w:fill="548dd4"/>
        <w:tcBorders/>
      </w:tcPr>
    </w:tblStylePr>
    <w:tblStylePr w:type="firstRow">
      <w:rPr>
        <w:rFonts w:ascii="Arial" w:hAnsi="Arial"/>
        <w:color w:val="f2f2f2"/>
        <w:sz w:val="22"/>
      </w:rPr>
      <w:pPr>
        <w:pBdr/>
        <w:spacing/>
        <w:ind/>
      </w:pPr>
      <w:tblPr>
        <w:tblBorders/>
      </w:tblPr>
      <w:tcPr>
        <w:shd w:val="clear" w:color="auto" w:fill="548dd4"/>
        <w:tcBorders/>
      </w:tcPr>
    </w:tblStylePr>
    <w:tblStylePr w:type="lastCol">
      <w:rPr>
        <w:rFonts w:ascii="Arial" w:hAnsi="Arial"/>
        <w:color w:val="f2f2f2"/>
        <w:sz w:val="22"/>
      </w:rPr>
      <w:pPr>
        <w:pBdr/>
        <w:spacing/>
        <w:ind/>
      </w:pPr>
      <w:tblPr>
        <w:tblBorders/>
      </w:tblPr>
      <w:tcPr>
        <w:shd w:val="clear" w:color="auto" w:fill="548dd4"/>
        <w:tcBorders/>
      </w:tcPr>
    </w:tblStylePr>
    <w:tblStylePr w:type="lastRow">
      <w:rPr>
        <w:rFonts w:ascii="Arial" w:hAnsi="Arial"/>
        <w:color w:val="f2f2f2"/>
        <w:sz w:val="22"/>
      </w:rPr>
      <w:pPr>
        <w:pBdr/>
        <w:spacing/>
        <w:ind/>
      </w:pPr>
      <w:tblPr>
        <w:tblBorders/>
      </w:tblPr>
      <w:tcPr>
        <w:shd w:val="clear" w:color="auto" w:fill="548dd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2"/>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bdb"/>
        <w:tcBorders/>
      </w:tcPr>
    </w:tblStylePr>
    <w:tblStylePr w:type="band2Vert">
      <w:rPr>
        <w:rFonts w:ascii="Arial" w:hAnsi="Arial"/>
        <w:color w:val="404040"/>
        <w:sz w:val="22"/>
      </w:rPr>
      <w:pPr>
        <w:pBdr/>
        <w:spacing/>
        <w:ind/>
      </w:pPr>
      <w:tblPr>
        <w:tblBorders/>
      </w:tblPr>
      <w:tcPr>
        <w:shd w:val="clear" w:color="auto" w:fill="f2dbdb"/>
        <w:tcBorders/>
      </w:tcPr>
    </w:tblStylePr>
    <w:tblStylePr w:type="firstCol">
      <w:rPr>
        <w:rFonts w:ascii="Arial" w:hAnsi="Arial"/>
        <w:color w:val="f2f2f2"/>
        <w:sz w:val="22"/>
      </w:rPr>
      <w:pPr>
        <w:pBdr/>
        <w:spacing/>
        <w:ind/>
      </w:pPr>
      <w:tblPr>
        <w:tblBorders/>
      </w:tblPr>
      <w:tcPr>
        <w:shd w:val="clear" w:color="auto" w:fill="d99594"/>
        <w:tcBorders/>
      </w:tcPr>
    </w:tblStylePr>
    <w:tblStylePr w:type="firstRow">
      <w:rPr>
        <w:rFonts w:ascii="Arial" w:hAnsi="Arial"/>
        <w:color w:val="f2f2f2"/>
        <w:sz w:val="22"/>
      </w:rPr>
      <w:pPr>
        <w:pBdr/>
        <w:spacing/>
        <w:ind/>
      </w:pPr>
      <w:tblPr>
        <w:tblBorders/>
      </w:tblPr>
      <w:tcPr>
        <w:shd w:val="clear" w:color="auto" w:fill="d99594"/>
        <w:tcBorders/>
      </w:tcPr>
    </w:tblStylePr>
    <w:tblStylePr w:type="lastCol">
      <w:rPr>
        <w:rFonts w:ascii="Arial" w:hAnsi="Arial"/>
        <w:color w:val="f2f2f2"/>
        <w:sz w:val="22"/>
      </w:rPr>
      <w:pPr>
        <w:pBdr/>
        <w:spacing/>
        <w:ind/>
      </w:pPr>
      <w:tblPr>
        <w:tblBorders/>
      </w:tblPr>
      <w:tcPr>
        <w:shd w:val="clear" w:color="auto" w:fill="d99594"/>
        <w:tcBorders/>
      </w:tcPr>
    </w:tblStylePr>
    <w:tblStylePr w:type="lastRow">
      <w:rPr>
        <w:rFonts w:ascii="Arial" w:hAnsi="Arial"/>
        <w:color w:val="f2f2f2"/>
        <w:sz w:val="22"/>
      </w:rPr>
      <w:pPr>
        <w:pBdr/>
        <w:spacing/>
        <w:ind/>
      </w:pPr>
      <w:tblPr>
        <w:tblBorders/>
      </w:tblPr>
      <w:tcPr>
        <w:shd w:val="clear" w:color="auto" w:fill="d9959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3"/>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d"/>
        <w:tcBorders/>
      </w:tcPr>
    </w:tblStylePr>
    <w:tblStylePr w:type="band2Vert">
      <w:rPr>
        <w:rFonts w:ascii="Arial" w:hAnsi="Arial"/>
        <w:color w:val="404040"/>
        <w:sz w:val="22"/>
      </w:rPr>
      <w:pPr>
        <w:pBdr/>
        <w:spacing/>
        <w:ind/>
      </w:pPr>
      <w:tblPr>
        <w:tblBorders/>
      </w:tblPr>
      <w:tcPr>
        <w:shd w:val="clear" w:color="auto" w:fill="eaf1dd"/>
        <w:tcBorders/>
      </w:tcPr>
    </w:tblStylePr>
    <w:tblStylePr w:type="firstCol">
      <w:rPr>
        <w:rFonts w:ascii="Arial" w:hAnsi="Arial"/>
        <w:color w:val="f2f2f2"/>
        <w:sz w:val="22"/>
      </w:rPr>
      <w:pPr>
        <w:pBdr/>
        <w:spacing/>
        <w:ind/>
      </w:pPr>
      <w:tblPr>
        <w:tblBorders/>
      </w:tblPr>
      <w:tcPr>
        <w:shd w:val="clear" w:color="auto" w:fill="9bbb59"/>
        <w:tcBorders/>
      </w:tcPr>
    </w:tblStylePr>
    <w:tblStylePr w:type="firstRow">
      <w:rPr>
        <w:rFonts w:ascii="Arial" w:hAnsi="Arial"/>
        <w:color w:val="f2f2f2"/>
        <w:sz w:val="22"/>
      </w:rPr>
      <w:pPr>
        <w:pBdr/>
        <w:spacing/>
        <w:ind/>
      </w:pPr>
      <w:tblPr>
        <w:tblBorders/>
      </w:tblPr>
      <w:tcPr>
        <w:shd w:val="clear" w:color="auto" w:fill="9bbb59"/>
        <w:tcBorders/>
      </w:tcPr>
    </w:tblStylePr>
    <w:tblStylePr w:type="lastCol">
      <w:rPr>
        <w:rFonts w:ascii="Arial" w:hAnsi="Arial"/>
        <w:color w:val="f2f2f2"/>
        <w:sz w:val="22"/>
      </w:rPr>
      <w:pPr>
        <w:pBdr/>
        <w:spacing/>
        <w:ind/>
      </w:pPr>
      <w:tblPr>
        <w:tblBorders/>
      </w:tblPr>
      <w:tcPr>
        <w:shd w:val="clear" w:color="auto" w:fill="9bbb59"/>
        <w:tcBorders/>
      </w:tcPr>
    </w:tblStylePr>
    <w:tblStylePr w:type="lastRow">
      <w:rPr>
        <w:rFonts w:ascii="Arial" w:hAnsi="Arial"/>
        <w:color w:val="f2f2f2"/>
        <w:sz w:val="22"/>
      </w:rPr>
      <w:pPr>
        <w:pBdr/>
        <w:spacing/>
        <w:ind/>
      </w:pPr>
      <w:tblPr>
        <w:tblBorders/>
      </w:tblPr>
      <w:tcPr>
        <w:shd w:val="clear" w:color="auto" w:fill="9b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4"/>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cBorders/>
      </w:tcPr>
    </w:tblStylePr>
    <w:tblStylePr w:type="band2Vert">
      <w:rPr>
        <w:rFonts w:ascii="Arial" w:hAnsi="Arial"/>
        <w:color w:val="404040"/>
        <w:sz w:val="22"/>
      </w:rPr>
      <w:pPr>
        <w:pBdr/>
        <w:spacing/>
        <w:ind/>
      </w:pPr>
      <w:tblPr>
        <w:tblBorders/>
      </w:tblPr>
      <w:tcPr>
        <w:shd w:val="clear" w:color="auto" w:fill="e5dfec"/>
        <w:tcBorders/>
      </w:tcPr>
    </w:tblStylePr>
    <w:tblStylePr w:type="firstCol">
      <w:rPr>
        <w:rFonts w:ascii="Arial" w:hAnsi="Arial"/>
        <w:color w:val="f2f2f2"/>
        <w:sz w:val="22"/>
      </w:rPr>
      <w:pPr>
        <w:pBdr/>
        <w:spacing/>
        <w:ind/>
      </w:pPr>
      <w:tblPr>
        <w:tblBorders/>
      </w:tblPr>
      <w:tcPr>
        <w:shd w:val="clear" w:color="auto" w:fill="b2a1c7"/>
        <w:tcBorders/>
      </w:tcPr>
    </w:tblStylePr>
    <w:tblStylePr w:type="firstRow">
      <w:rPr>
        <w:rFonts w:ascii="Arial" w:hAnsi="Arial"/>
        <w:color w:val="f2f2f2"/>
        <w:sz w:val="22"/>
      </w:rPr>
      <w:pPr>
        <w:pBdr/>
        <w:spacing/>
        <w:ind/>
      </w:pPr>
      <w:tblPr>
        <w:tblBorders/>
      </w:tblPr>
      <w:tcPr>
        <w:shd w:val="clear" w:color="auto" w:fill="b2a1c7"/>
        <w:tcBorders/>
      </w:tcPr>
    </w:tblStylePr>
    <w:tblStylePr w:type="lastCol">
      <w:rPr>
        <w:rFonts w:ascii="Arial" w:hAnsi="Arial"/>
        <w:color w:val="f2f2f2"/>
        <w:sz w:val="22"/>
      </w:rPr>
      <w:pPr>
        <w:pBdr/>
        <w:spacing/>
        <w:ind/>
      </w:pPr>
      <w:tblPr>
        <w:tblBorders/>
      </w:tblPr>
      <w:tcPr>
        <w:shd w:val="clear" w:color="auto" w:fill="b2a1c7"/>
        <w:tcBorders/>
      </w:tcPr>
    </w:tblStylePr>
    <w:tblStylePr w:type="lastRow">
      <w:rPr>
        <w:rFonts w:ascii="Arial" w:hAnsi="Arial"/>
        <w:color w:val="f2f2f2"/>
        <w:sz w:val="22"/>
      </w:rPr>
      <w:pPr>
        <w:pBdr/>
        <w:spacing/>
        <w:ind/>
      </w:pPr>
      <w:tblPr>
        <w:tblBorders/>
      </w:tblPr>
      <w:tcPr>
        <w:shd w:val="clear" w:color="auto" w:fill="b2a1c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5"/>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cBorders/>
      </w:tcPr>
    </w:tblStylePr>
    <w:tblStylePr w:type="band2Vert">
      <w:rPr>
        <w:rFonts w:ascii="Arial" w:hAnsi="Arial"/>
        <w:color w:val="404040"/>
        <w:sz w:val="22"/>
      </w:rPr>
      <w:pPr>
        <w:pBdr/>
        <w:spacing/>
        <w:ind/>
      </w:pPr>
      <w:tblPr>
        <w:tblBorders/>
      </w:tblPr>
      <w:tcPr>
        <w:shd w:val="clear" w:color="auto" w:fill="daeef3"/>
        <w:tcBorders/>
      </w:tcPr>
    </w:tblStylePr>
    <w:tblStylePr w:type="firstCol">
      <w:rPr>
        <w:rFonts w:ascii="Arial" w:hAnsi="Arial"/>
        <w:color w:val="f2f2f2"/>
        <w:sz w:val="22"/>
      </w:rPr>
      <w:pPr>
        <w:pBdr/>
        <w:spacing/>
        <w:ind/>
      </w:pPr>
      <w:tblPr>
        <w:tblBorders/>
      </w:tblPr>
      <w:tcPr>
        <w:shd w:val="clear" w:color="auto" w:fill="4bacc6"/>
        <w:tcBorders/>
      </w:tcPr>
    </w:tblStylePr>
    <w:tblStylePr w:type="firstRow">
      <w:rPr>
        <w:rFonts w:ascii="Arial" w:hAnsi="Arial"/>
        <w:color w:val="f2f2f2"/>
        <w:sz w:val="22"/>
      </w:rPr>
      <w:pPr>
        <w:pBdr/>
        <w:spacing/>
        <w:ind/>
      </w:pPr>
      <w:tblPr>
        <w:tblBorders/>
      </w:tblPr>
      <w:tcPr>
        <w:shd w:val="clear" w:color="auto" w:fill="4bacc6"/>
        <w:tcBorders/>
      </w:tcPr>
    </w:tblStylePr>
    <w:tblStylePr w:type="lastCol">
      <w:rPr>
        <w:rFonts w:ascii="Arial" w:hAnsi="Arial"/>
        <w:color w:val="f2f2f2"/>
        <w:sz w:val="22"/>
      </w:rPr>
      <w:pPr>
        <w:pBdr/>
        <w:spacing/>
        <w:ind/>
      </w:pPr>
      <w:tblPr>
        <w:tblBorders/>
      </w:tblPr>
      <w:tcPr>
        <w:shd w:val="clear" w:color="auto" w:fill="4bacc6"/>
        <w:tcBorders/>
      </w:tcPr>
    </w:tblStylePr>
    <w:tblStylePr w:type="lastRow">
      <w:rPr>
        <w:rFonts w:ascii="Arial" w:hAnsi="Arial"/>
        <w:color w:val="f2f2f2"/>
        <w:sz w:val="22"/>
      </w:rPr>
      <w:pPr>
        <w:pBdr/>
        <w:spacing/>
        <w:ind/>
      </w:pPr>
      <w:tblPr>
        <w:tblBorders/>
      </w:tblPr>
      <w:tcPr>
        <w:shd w:val="clear" w:color="auto"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6"/>
    <w:basedOn w:val="746"/>
    <w:uiPriority w:val="99"/>
    <w:pPr>
      <w:pBdr/>
      <w:spacing w:after="0" w:line="240" w:lineRule="auto"/>
      <w:ind/>
    </w:pPr>
    <w:rPr>
      <w:color w:val="404040"/>
      <w:sz w:val="20"/>
      <w:szCs w:val="20"/>
      <w:lang w:eastAsia="uk-UA"/>
    </w:rPr>
    <w:tblPr>
      <w:tblStyleRowBandSize w:val="1"/>
      <w:tblStyleColBandSize w:val="1"/>
      <w:tblInd w:w="0" w:type="dxa"/>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9"/>
        <w:tcBorders/>
      </w:tcPr>
    </w:tblStylePr>
    <w:tblStylePr w:type="band2Vert">
      <w:rPr>
        <w:rFonts w:ascii="Arial" w:hAnsi="Arial"/>
        <w:color w:val="404040"/>
        <w:sz w:val="22"/>
      </w:rPr>
      <w:pPr>
        <w:pBdr/>
        <w:spacing/>
        <w:ind/>
      </w:pPr>
      <w:tblPr>
        <w:tblBorders/>
      </w:tblPr>
      <w:tcPr>
        <w:shd w:val="clear" w:color="auto" w:fill="fde9d9"/>
        <w:tcBorders/>
      </w:tcPr>
    </w:tblStylePr>
    <w:tblStylePr w:type="firstCol">
      <w:rPr>
        <w:rFonts w:ascii="Arial" w:hAnsi="Arial"/>
        <w:color w:val="f2f2f2"/>
        <w:sz w:val="22"/>
      </w:rPr>
      <w:pPr>
        <w:pBdr/>
        <w:spacing/>
        <w:ind/>
      </w:pPr>
      <w:tblPr>
        <w:tblBorders/>
      </w:tblPr>
      <w:tcPr>
        <w:shd w:val="clear" w:color="auto" w:fill="f79646"/>
        <w:tcBorders/>
      </w:tcPr>
    </w:tblStylePr>
    <w:tblStylePr w:type="firstRow">
      <w:rPr>
        <w:rFonts w:ascii="Arial" w:hAnsi="Arial"/>
        <w:color w:val="f2f2f2"/>
        <w:sz w:val="22"/>
      </w:rPr>
      <w:pPr>
        <w:pBdr/>
        <w:spacing/>
        <w:ind/>
      </w:pPr>
      <w:tblPr>
        <w:tblBorders/>
      </w:tblPr>
      <w:tcPr>
        <w:shd w:val="clear" w:color="auto" w:fill="f79646"/>
        <w:tcBorders/>
      </w:tcPr>
    </w:tblStylePr>
    <w:tblStylePr w:type="lastCol">
      <w:rPr>
        <w:rFonts w:ascii="Arial" w:hAnsi="Arial"/>
        <w:color w:val="f2f2f2"/>
        <w:sz w:val="22"/>
      </w:rPr>
      <w:pPr>
        <w:pBdr/>
        <w:spacing/>
        <w:ind/>
      </w:pPr>
      <w:tblPr>
        <w:tblBorders/>
      </w:tblPr>
      <w:tcPr>
        <w:shd w:val="clear" w:color="auto" w:fill="f79646"/>
        <w:tcBorders/>
      </w:tcPr>
    </w:tblStylePr>
    <w:tblStylePr w:type="lastRow">
      <w:rPr>
        <w:rFonts w:ascii="Arial" w:hAnsi="Arial"/>
        <w:color w:val="f2f2f2"/>
        <w:sz w:val="22"/>
      </w:rPr>
      <w:pPr>
        <w:pBdr/>
        <w:spacing/>
        <w:ind/>
      </w:pPr>
      <w:tblPr>
        <w:tblBorders/>
      </w:tblPr>
      <w:tcPr>
        <w:shd w:val="clear" w:color="auto"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1">
    <w:name w:val="Hyperlink"/>
    <w:uiPriority w:val="99"/>
    <w:unhideWhenUsed/>
    <w:pPr>
      <w:pBdr/>
      <w:spacing/>
      <w:ind/>
    </w:pPr>
    <w:rPr>
      <w:color w:val="0000ff" w:themeColor="hyperlink"/>
      <w:u w:val="single"/>
    </w:rPr>
  </w:style>
  <w:style w:type="paragraph" w:styleId="942">
    <w:name w:val="footnote text"/>
    <w:basedOn w:val="735"/>
    <w:link w:val="943"/>
    <w:uiPriority w:val="99"/>
    <w:semiHidden/>
    <w:unhideWhenUsed/>
    <w:pPr>
      <w:pBdr/>
      <w:spacing w:after="40"/>
      <w:ind/>
    </w:pPr>
    <w:rPr>
      <w:sz w:val="18"/>
    </w:rPr>
  </w:style>
  <w:style w:type="character" w:styleId="943" w:customStyle="1">
    <w:name w:val="Текст сноски Знак"/>
    <w:link w:val="942"/>
    <w:uiPriority w:val="99"/>
    <w:pPr>
      <w:pBdr/>
      <w:spacing/>
      <w:ind/>
    </w:pPr>
    <w:rPr>
      <w:sz w:val="18"/>
    </w:rPr>
  </w:style>
  <w:style w:type="character" w:styleId="944">
    <w:name w:val="footnote reference"/>
    <w:basedOn w:val="745"/>
    <w:uiPriority w:val="99"/>
    <w:unhideWhenUsed/>
    <w:pPr>
      <w:pBdr/>
      <w:spacing/>
      <w:ind/>
    </w:pPr>
    <w:rPr>
      <w:vertAlign w:val="superscript"/>
    </w:rPr>
  </w:style>
  <w:style w:type="paragraph" w:styleId="945">
    <w:name w:val="toc 1"/>
    <w:basedOn w:val="735"/>
    <w:next w:val="735"/>
    <w:uiPriority w:val="39"/>
    <w:unhideWhenUsed/>
    <w:pPr>
      <w:pBdr/>
      <w:spacing w:after="57"/>
      <w:ind w:firstLine="0"/>
    </w:pPr>
  </w:style>
  <w:style w:type="paragraph" w:styleId="946">
    <w:name w:val="toc 2"/>
    <w:basedOn w:val="735"/>
    <w:next w:val="735"/>
    <w:uiPriority w:val="39"/>
    <w:unhideWhenUsed/>
    <w:pPr>
      <w:pBdr/>
      <w:spacing w:after="57"/>
      <w:ind w:firstLine="0" w:left="283"/>
    </w:pPr>
  </w:style>
  <w:style w:type="paragraph" w:styleId="947">
    <w:name w:val="toc 3"/>
    <w:basedOn w:val="735"/>
    <w:next w:val="735"/>
    <w:uiPriority w:val="39"/>
    <w:unhideWhenUsed/>
    <w:pPr>
      <w:pBdr/>
      <w:spacing w:after="57"/>
      <w:ind w:firstLine="0" w:left="567"/>
    </w:pPr>
  </w:style>
  <w:style w:type="paragraph" w:styleId="948">
    <w:name w:val="toc 4"/>
    <w:basedOn w:val="735"/>
    <w:next w:val="735"/>
    <w:uiPriority w:val="39"/>
    <w:unhideWhenUsed/>
    <w:pPr>
      <w:pBdr/>
      <w:spacing w:after="57"/>
      <w:ind w:firstLine="0" w:left="850"/>
    </w:pPr>
  </w:style>
  <w:style w:type="paragraph" w:styleId="949">
    <w:name w:val="toc 5"/>
    <w:basedOn w:val="735"/>
    <w:next w:val="735"/>
    <w:uiPriority w:val="39"/>
    <w:unhideWhenUsed/>
    <w:pPr>
      <w:pBdr/>
      <w:spacing w:after="57"/>
      <w:ind w:firstLine="0" w:left="1134"/>
    </w:pPr>
  </w:style>
  <w:style w:type="paragraph" w:styleId="950">
    <w:name w:val="toc 6"/>
    <w:basedOn w:val="735"/>
    <w:next w:val="735"/>
    <w:uiPriority w:val="39"/>
    <w:unhideWhenUsed/>
    <w:pPr>
      <w:pBdr/>
      <w:spacing w:after="57"/>
      <w:ind w:firstLine="0" w:left="1417"/>
    </w:pPr>
  </w:style>
  <w:style w:type="paragraph" w:styleId="951">
    <w:name w:val="toc 7"/>
    <w:basedOn w:val="735"/>
    <w:next w:val="735"/>
    <w:uiPriority w:val="39"/>
    <w:unhideWhenUsed/>
    <w:pPr>
      <w:pBdr/>
      <w:spacing w:after="57"/>
      <w:ind w:firstLine="0" w:left="1701"/>
    </w:pPr>
  </w:style>
  <w:style w:type="paragraph" w:styleId="952">
    <w:name w:val="toc 8"/>
    <w:basedOn w:val="735"/>
    <w:next w:val="735"/>
    <w:uiPriority w:val="39"/>
    <w:unhideWhenUsed/>
    <w:pPr>
      <w:pBdr/>
      <w:spacing w:after="57"/>
      <w:ind w:firstLine="0" w:left="1984"/>
    </w:pPr>
  </w:style>
  <w:style w:type="paragraph" w:styleId="953">
    <w:name w:val="toc 9"/>
    <w:basedOn w:val="735"/>
    <w:next w:val="735"/>
    <w:uiPriority w:val="39"/>
    <w:unhideWhenUsed/>
    <w:pPr>
      <w:pBdr/>
      <w:spacing w:after="57"/>
      <w:ind w:firstLine="0" w:left="2268"/>
    </w:pPr>
  </w:style>
  <w:style w:type="paragraph" w:styleId="954">
    <w:name w:val="TOC Heading"/>
    <w:uiPriority w:val="39"/>
    <w:unhideWhenUsed/>
    <w:pPr>
      <w:pBdr/>
      <w:spacing/>
      <w:ind/>
    </w:pPr>
  </w:style>
  <w:style w:type="paragraph" w:styleId="955">
    <w:name w:val="Balloon Text"/>
    <w:basedOn w:val="735"/>
    <w:link w:val="956"/>
    <w:uiPriority w:val="99"/>
    <w:semiHidden/>
    <w:unhideWhenUsed/>
    <w:pPr>
      <w:pBdr/>
      <w:spacing/>
      <w:ind/>
    </w:pPr>
    <w:rPr>
      <w:rFonts w:ascii="Tahoma" w:hAnsi="Tahoma" w:cs="Tahoma"/>
      <w:sz w:val="16"/>
      <w:szCs w:val="16"/>
    </w:rPr>
  </w:style>
  <w:style w:type="character" w:styleId="956" w:customStyle="1">
    <w:name w:val="Текст выноски Знак"/>
    <w:basedOn w:val="745"/>
    <w:link w:val="955"/>
    <w:uiPriority w:val="99"/>
    <w:semiHidden/>
    <w:pPr>
      <w:pBdr/>
      <w:spacing/>
      <w:ind/>
    </w:pPr>
    <w:rPr>
      <w:rFonts w:ascii="Tahoma" w:hAnsi="Tahoma" w:eastAsia="Times New Roman" w:cs="Tahoma"/>
      <w:sz w:val="16"/>
      <w:szCs w:val="16"/>
    </w:rPr>
  </w:style>
  <w:style w:type="paragraph" w:styleId="957" w:customStyle="1">
    <w:name w:val="docdata"/>
    <w:basedOn w:val="735"/>
    <w:pPr>
      <w:pBdr>
        <w:top w:val="none" w:color="000000" w:sz="0" w:space="0"/>
        <w:left w:val="none" w:color="000000" w:sz="0" w:space="0"/>
        <w:bottom w:val="none" w:color="000000" w:sz="0" w:space="0"/>
        <w:right w:val="none" w:color="000000" w:sz="0" w:space="0"/>
      </w:pBdr>
      <w:tabs>
        <w:tab w:val="clear" w:leader="none" w:pos="1134"/>
      </w:tabs>
      <w:spacing w:after="100" w:afterAutospacing="1" w:before="100" w:beforeAutospacing="1"/>
      <w:ind w:firstLine="0"/>
      <w:jc w:val="left"/>
    </w:pPr>
    <w:rPr>
      <w:sz w:val="24"/>
      <w:szCs w:val="24"/>
      <w:lang w:eastAsia="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 Id="rId14" Type="http://schemas.openxmlformats.org/officeDocument/2006/relationships/customXml" Target="../customXml/item2.xml" /><Relationship Id="rId15"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1F358E73-9906-4AEC-A893-800A17C19259}">
  <ds:schemaRefs>
    <ds:schemaRef ds:uri="http://schemas.openxmlformats.org/officeDocument/2006/bibliography"/>
  </ds:schemaRefs>
</ds:datastoreItem>
</file>

<file path=customXml/itemProps2.xml><?xml version="1.0" encoding="utf-8"?>
<ds:datastoreItem xmlns:ds="http://schemas.openxmlformats.org/officeDocument/2006/customXml" ds:itemID="{ECEC84A0-9C40-4BFB-8A13-D337EA0F7CD7}">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Четвертакова Наталія Вікторівна</cp:lastModifiedBy>
  <cp:revision>371</cp:revision>
  <dcterms:created xsi:type="dcterms:W3CDTF">2023-11-21T13:30:00Z</dcterms:created>
  <dcterms:modified xsi:type="dcterms:W3CDTF">2024-12-24T14:44:40Z</dcterms:modified>
</cp:coreProperties>
</file>