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56 сесії Менської міської ради 8 скликання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19  грудня 2024 року № 719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ідтримки ветеранів війни, Захисників і Захисниць України, членів їх сімей та членів сімей загиблих ( померлих ) ветеранів війни,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об'єднань ветеранів</w:t>
      </w:r>
      <w:r>
        <w:rPr>
          <w:rFonts w:ascii="Times New Roman" w:hAnsi="Times New Roman" w:cs="Times New Roman"/>
          <w:b/>
          <w:sz w:val="28"/>
          <w:szCs w:val="28"/>
        </w:rPr>
        <w:t xml:space="preserve"> Менської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на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-2027 роки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ена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рік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ЗАГАЛЬНА ХАРАКТЕРИСТИКА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926"/>
        <w:tblW w:w="0" w:type="auto"/>
        <w:tblBorders/>
        <w:tblLook w:val="04A0" w:firstRow="1" w:lastRow="0" w:firstColumn="1" w:lastColumn="0" w:noHBand="0" w:noVBand="1"/>
      </w:tblPr>
      <w:tblGrid>
        <w:gridCol w:w="426"/>
        <w:gridCol w:w="3510"/>
        <w:gridCol w:w="5918"/>
      </w:tblGrid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1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Ініціатор розроблення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1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1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міська рада;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соціального захисту населення та охорони здоров’я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Комунальна установа «Менський міський центр соціальних служб»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Комунальна установа «Територіальний центр надання соціальних послуг»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освіти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фізичної культури і спорту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«Менська міська лікарня» Менської міської ради;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«Менський центр первинної медико-санітарної допомоги» Менської міської ради;</w:t>
            </w:r>
            <w:r/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Комунальна установа «Центр професійного розвитку педагогічних працівників»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підприємство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Менакомунпослуга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Менський відділ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філії Чернігівського обласного центру зайнятості;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ветеранів України Менської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1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Учасники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рограми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 міська рада;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соціального захисту населення та охорони здоров’я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Комунальна установа «Менський міський центр соціальних служб»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Комунальна установа «Територіальний центр надання соціальних послуг»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освіти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фізичної культури і спорту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«Менська міська лікарня» Менської міської ради;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«Менський центр первинної медико-санітарної допомоги» Менської міської ради;</w:t>
            </w:r>
            <w:r/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Комунальна установа «Центр професійного розвитку педагогічних працівників»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підприємство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Менакомунпослуга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Менської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Менський відділ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Корюківської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філії Чернігівського обласного центру зайнятості;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ветеранів України Менської міської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1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Термін реалізації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2025-2027 рік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1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Перелік бюджетів, задіяних у виконання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tabs>
                <w:tab w:val="left" w:leader="none" w:pos="1665"/>
              </w:tabs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Місцевий бюджет, інші джерела фінансування незаборонені законодавством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1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сів, необхідних для реалізації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рограми (тис. грн.)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Всього 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3000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тис грн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роках 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рік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тис.грн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рік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тис.грн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рік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1160,0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тис.грн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351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Джерела фінансування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59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Місцевий бюджет, інші джерела фінансування не заборонені законодавством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426" w:left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 Визначення проблеми, на розв’язання якої спрямована Програма.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зв’язку із військовою агресією російської федерації проти України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2014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тисячі громадян стоять на захисті своєї країни,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саме ветерани, Захисники, Захисниці та члени їх родин стали сьогодні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однією із вразливих верств населення, яка потребує всебічної підтримки та захисту. Тому, наразі, вкрай важливою є комплексна підтримка військовослужбовців, ветеранів війни, сімей загиблих (померлих) Захисників та Захисниць України з боку владних структур,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органів місцевого самоврядування, державних установ та організацій в частині соціального захисту, а також забезпечення прав і свобод ветеранів під час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переходу від військової служби до цивільного життя, реінтеграції ветеранів у громаді, спільноті та родині. Поліпшення фінансово-матеріального стану зазначених категорій осіб, забезпечення їх потреб у соціальному обслуговуванні т</w:t>
      </w:r>
      <w:r>
        <w:rPr>
          <w:rFonts w:ascii="Times New Roman" w:hAnsi="Times New Roman" w:cs="Times New Roman"/>
          <w:sz w:val="28"/>
          <w:szCs w:val="28"/>
        </w:rPr>
        <w:t xml:space="preserve">а психологічній підтримці, </w:t>
      </w:r>
      <w:r>
        <w:rPr>
          <w:rFonts w:ascii="Times New Roman" w:hAnsi="Times New Roman" w:cs="Times New Roman"/>
          <w:sz w:val="28"/>
          <w:szCs w:val="28"/>
        </w:rPr>
        <w:t xml:space="preserve">сприяння вирішенню їх соціально-побутових проблем, вшанування пам’яті загиблих героїв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Потребують підтримки і члени ветеранських організацій та об'єднань, які були створені в минулі роки, та </w:t>
      </w:r>
      <w:r>
        <w:rPr>
          <w:rFonts w:ascii="Times New Roman" w:hAnsi="Times New Roman" w:cs="Times New Roman"/>
          <w:sz w:val="28"/>
          <w:szCs w:val="28"/>
        </w:rPr>
        <w:t xml:space="preserve">які об’єднують ветеранів Другої світової війни, ветеранів праці, дітей</w:t>
      </w:r>
      <w:r>
        <w:rPr>
          <w:rFonts w:ascii="Times New Roman" w:hAnsi="Times New Roman" w:cs="Times New Roman"/>
          <w:sz w:val="28"/>
          <w:szCs w:val="28"/>
        </w:rPr>
        <w:t xml:space="preserve"> війни, інвалідів, громадян похилого віку, учасників бойових дій на території інших держав, ліквідаторів аварії на Чорнобильській АЕС, в’язнів-жертв на</w:t>
      </w:r>
      <w:r>
        <w:rPr>
          <w:rFonts w:ascii="Times New Roman" w:hAnsi="Times New Roman" w:eastAsia="Times New Roman"/>
          <w:sz w:val="28"/>
          <w:szCs w:val="28"/>
        </w:rPr>
        <w:t xml:space="preserve">цизму, учасників бойових дій в АТО/ООС, ветеранів військової служби та служби в інших силових структурах.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11" w:left="-15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Мета Програми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Метою Програми є реалізація комплексу взаємопов’язаних завдань і заходів, що спрямовані на розв’язання найважливіших проблем у сфері соціального захисту війс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ьковослужбовців у період запровадження воєнного стану в Україні, ветеранів війни, сімей загиблих (померлих, зниклих безвісти за особливих </w:t>
      </w:r>
      <w:r>
        <w:rPr>
          <w:rFonts w:ascii="Times New Roman" w:hAnsi="Times New Roman" w:cs="Times New Roman"/>
          <w:sz w:val="28"/>
          <w:szCs w:val="28"/>
        </w:rPr>
        <w:t xml:space="preserve">обставин) Захисників і Захисниць України, підтримання їх належного морально-психологічного стану, поліпшення ефективно</w:t>
      </w:r>
      <w:r>
        <w:rPr>
          <w:rFonts w:ascii="Times New Roman" w:hAnsi="Times New Roman" w:cs="Times New Roman"/>
          <w:sz w:val="28"/>
          <w:szCs w:val="28"/>
        </w:rPr>
        <w:t xml:space="preserve">сті взаємодії місцевих органів виконавчої влади та органів місцевого самоврядування із громадськими об’єднаннями, іншими юридичними особами у сфері підтримки зазначених категорій осіб, створення у суспільстві атмосфери співчуття, підтримки та поважного ста</w:t>
      </w:r>
      <w:r>
        <w:rPr>
          <w:rFonts w:ascii="Times New Roman" w:hAnsi="Times New Roman" w:cs="Times New Roman"/>
          <w:sz w:val="28"/>
          <w:szCs w:val="28"/>
        </w:rPr>
        <w:t xml:space="preserve">влення до членів сімей загибли</w:t>
      </w:r>
      <w:r>
        <w:rPr>
          <w:rFonts w:ascii="Times New Roman" w:hAnsi="Times New Roman" w:cs="Times New Roman"/>
          <w:sz w:val="28"/>
          <w:szCs w:val="28"/>
        </w:rPr>
        <w:t xml:space="preserve">х, а також забезпечення взаємодії та співпраці Менської міської ради, її виконавчих органів, установ та закладів з ветеранськими об'єднаннями та організац</w:t>
      </w:r>
      <w:r>
        <w:rPr>
          <w:rFonts w:ascii="Times New Roman" w:hAnsi="Times New Roman" w:cs="Times New Roman"/>
          <w:sz w:val="28"/>
          <w:szCs w:val="28"/>
        </w:rPr>
        <w:t xml:space="preserve">іями з проведення спільних заходів, направлених на патріотичне виховання, розвиток громадського руху, відзначення визначних подій, вшанування членів цих організацій з нагоди свят та пам'ятних дат, вшанування пам'яті загиблих і померлих, підтримка їх родин.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Водночас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заходів Програми сприятиме підвищенню рівня довіри до органів місцевого самоврядування та створенню в громаді атмосфери співчуття, підтримки та поважного ставлення до ц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громадян.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Обґрунтування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шляхів і засобів розв’язання проблеми обсягів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та джерел фінансування, строки виконання Програми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Ухвалення Програми забезпечить ефективне розв’язання існуючих проблем </w:t>
      </w:r>
      <w:r>
        <w:rPr>
          <w:rFonts w:ascii="Times New Roman" w:hAnsi="Times New Roman" w:cs="Times New Roman"/>
          <w:sz w:val="28"/>
          <w:szCs w:val="28"/>
        </w:rPr>
        <w:t xml:space="preserve">військовослужбовців, ветеранів війни, членів їх сімей, родин загиблих (померлих, зниклих безвісти за особливих обставин) Захисників і Захисниць України</w:t>
      </w:r>
      <w:r>
        <w:rPr>
          <w:rFonts w:ascii="Times New Roman" w:hAnsi="Times New Roman" w:cs="Times New Roman"/>
          <w:sz w:val="28"/>
          <w:szCs w:val="28"/>
        </w:rPr>
        <w:t xml:space="preserve">, що проживають на території</w:t>
      </w:r>
      <w:r>
        <w:rPr>
          <w:rFonts w:ascii="Times New Roman" w:hAnsi="Times New Roman" w:cs="Times New Roman"/>
          <w:sz w:val="28"/>
          <w:szCs w:val="28"/>
        </w:rPr>
        <w:t xml:space="preserve"> Менської міської територіальної громади, оскільки застосовує до їх вирішення принципи системності та адресності, </w:t>
      </w:r>
      <w:r>
        <w:rPr>
          <w:rFonts w:ascii="Times New Roman" w:hAnsi="Times New Roman" w:cs="Times New Roman"/>
          <w:sz w:val="28"/>
          <w:szCs w:val="28"/>
        </w:rPr>
        <w:t xml:space="preserve">дасть можливість здійснити ряд заходів, спрямованих на реалізацію державної ветеранської політики шляхом соціальної адаптації, психологічної підтримки та забезпечення матеріальної підтримки таких осіб, додержання держав</w:t>
      </w:r>
      <w:r>
        <w:rPr>
          <w:rFonts w:ascii="Times New Roman" w:hAnsi="Times New Roman" w:cs="Times New Roman"/>
          <w:sz w:val="28"/>
          <w:szCs w:val="28"/>
        </w:rPr>
        <w:t xml:space="preserve">них соціальних гарантій та впровадження додаткових форм адресної підтримки, збільшення ефективності взаємодії місцевих органів виконавчої влади, органів </w:t>
      </w:r>
      <w:r>
        <w:rPr>
          <w:rFonts w:ascii="Times New Roman" w:hAnsi="Times New Roman" w:cs="Times New Roman"/>
          <w:sz w:val="28"/>
          <w:szCs w:val="28"/>
        </w:rPr>
        <w:t xml:space="preserve">місцевого самоврядування та інститутів громадського суспільства, спільної координації наявних ресурсів.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Коім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дозволить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ідтримати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громадський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рух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направлений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об'єднання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ветеранів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організовані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ними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активності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 заходи.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 Програми поширюються на 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 та сім’ї, які проживають на території Менської міської територіальної громади, 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 та сім’ї, які прибули з інших територій України, та проживають на території Менської міської територіальної громади і зареєстровані як внутрішньо переміщені особи.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довгостроковою та буде реалізована поетапно протягом 2025-2027 років із забезпеченням фінансування, передбачених нею заходів, за рахунок коштів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Менської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коштів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цільових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субвенці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ержавного бюджету України та інших джерел фінансування, не заборонених чинним законодавством.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Основні завдання Програми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заходів Програми очікується досягнення певних зрушень у реалізації ветеранської політики, підвищення рівня соціального захисту, поліпшення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атеріально-побутового становища ветеранів війни, Захисників і Захисниць України, членів їх сімей та членів сімей загиблих (померлих) ветеранів війни, поліпшення соціально-психологічного мікроклімату у таких родинах, о</w:t>
      </w:r>
      <w:r>
        <w:rPr>
          <w:rFonts w:ascii="Times New Roman" w:hAnsi="Times New Roman" w:cs="Times New Roman"/>
          <w:sz w:val="28"/>
          <w:szCs w:val="28"/>
        </w:rPr>
        <w:t xml:space="preserve">тримання додаткових соціальних гарантій</w:t>
      </w:r>
      <w:r>
        <w:rPr>
          <w:rFonts w:ascii="Times New Roman" w:hAnsi="Times New Roman" w:cs="Times New Roman"/>
          <w:sz w:val="28"/>
          <w:szCs w:val="28"/>
        </w:rPr>
        <w:t xml:space="preserve">, підтримка громадських об'єднань ветеранів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ди, спрямовані на виконання Програми, наведені у додатку до Програми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який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її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невід'ємною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частиною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Основн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ими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завдання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ми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Програми є:</w:t>
      </w: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931"/>
        <w:numPr>
          <w:ilvl w:val="0"/>
          <w:numId w:val="4"/>
        </w:numPr>
        <w:pBdr/>
        <w:spacing w:after="0" w:line="240" w:lineRule="auto"/>
        <w:ind w:firstLine="360" w:left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посил</w:t>
      </w:r>
      <w:r>
        <w:rPr>
          <w:rFonts w:ascii="Times New Roman" w:hAnsi="Times New Roman" w:cs="Times New Roman"/>
          <w:iCs/>
          <w:sz w:val="28"/>
          <w:szCs w:val="28"/>
        </w:rPr>
        <w:t xml:space="preserve">е</w:t>
      </w:r>
      <w:r>
        <w:rPr>
          <w:rFonts w:ascii="Times New Roman" w:hAnsi="Times New Roman" w:cs="Times New Roman"/>
          <w:iCs/>
          <w:sz w:val="28"/>
          <w:szCs w:val="28"/>
        </w:rPr>
        <w:t xml:space="preserve">ння соціального захисту ветеранів війни, Захисників і Захисниць України, членів їх сімей та членів сімей загиблих (померлих) ветеранів війни, Захисників і Захисниць України Менської міської територіальної громади;</w:t>
      </w: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931"/>
        <w:numPr>
          <w:ilvl w:val="0"/>
          <w:numId w:val="4"/>
        </w:numPr>
        <w:pBdr/>
        <w:spacing w:after="0" w:line="240" w:lineRule="auto"/>
        <w:ind w:firstLine="360"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збереження та покращення здоров’я ветеранів війни, </w:t>
      </w:r>
      <w:r>
        <w:rPr>
          <w:rFonts w:ascii="Times New Roman" w:hAnsi="Times New Roman" w:cs="Times New Roman"/>
          <w:iCs/>
          <w:sz w:val="28"/>
          <w:szCs w:val="28"/>
        </w:rPr>
        <w:t xml:space="preserve">їх </w:t>
      </w:r>
      <w:r>
        <w:rPr>
          <w:rFonts w:ascii="Times New Roman" w:hAnsi="Times New Roman" w:cs="Times New Roman"/>
          <w:iCs/>
          <w:sz w:val="28"/>
          <w:szCs w:val="28"/>
        </w:rPr>
        <w:t xml:space="preserve">морально-психологічного стану</w:t>
      </w:r>
      <w:r>
        <w:rPr>
          <w:rFonts w:ascii="Times New Roman" w:hAnsi="Times New Roman" w:cs="Times New Roman"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забезпе</w:t>
      </w:r>
      <w:r>
        <w:rPr>
          <w:rFonts w:ascii="Times New Roman" w:hAnsi="Times New Roman" w:cs="Times New Roman"/>
          <w:iCs/>
          <w:sz w:val="28"/>
          <w:szCs w:val="28"/>
        </w:rPr>
        <w:t xml:space="preserve">чення можливостей їх </w:t>
      </w:r>
      <w:r>
        <w:rPr>
          <w:rFonts w:ascii="Times New Roman" w:hAnsi="Times New Roman" w:cs="Times New Roman"/>
          <w:iCs/>
          <w:sz w:val="28"/>
          <w:szCs w:val="28"/>
        </w:rPr>
        <w:t xml:space="preserve">медичної та психологічної </w:t>
      </w:r>
      <w:r>
        <w:rPr>
          <w:rFonts w:ascii="Times New Roman" w:hAnsi="Times New Roman" w:cs="Times New Roman"/>
          <w:iCs/>
          <w:sz w:val="28"/>
          <w:szCs w:val="28"/>
        </w:rPr>
        <w:t xml:space="preserve">реабілітації;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1"/>
        <w:numPr>
          <w:ilvl w:val="0"/>
          <w:numId w:val="4"/>
        </w:numPr>
        <w:pBdr/>
        <w:spacing w:after="0" w:line="240" w:lineRule="auto"/>
        <w:ind w:firstLine="360"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підтримка сімей загиблих (померлих)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зникл</w:t>
      </w:r>
      <w:r>
        <w:rPr>
          <w:rFonts w:ascii="Times New Roman" w:hAnsi="Times New Roman" w:cs="Times New Roman"/>
          <w:iCs/>
          <w:sz w:val="28"/>
          <w:szCs w:val="28"/>
        </w:rPr>
        <w:t xml:space="preserve">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безвісті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військовослужбовців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1"/>
        <w:numPr>
          <w:ilvl w:val="0"/>
          <w:numId w:val="4"/>
        </w:numPr>
        <w:pBdr/>
        <w:spacing w:after="0" w:line="240" w:lineRule="auto"/>
        <w:ind w:firstLine="360" w:left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формування позитивного образу ветеранів війни;</w:t>
      </w: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931"/>
        <w:numPr>
          <w:ilvl w:val="0"/>
          <w:numId w:val="4"/>
        </w:numPr>
        <w:pBdr/>
        <w:spacing w:after="0" w:line="240" w:lineRule="auto"/>
        <w:ind w:firstLine="360" w:left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увіковічення пам’яті про Загиблих Захисників та Захисниць України, забезпечення належного вшанування подвигу ветеранів війни та загиблих воїнів</w:t>
      </w:r>
      <w:r>
        <w:rPr>
          <w:rFonts w:ascii="Times New Roman" w:hAnsi="Times New Roman" w:cs="Times New Roman"/>
          <w:iCs/>
          <w:sz w:val="28"/>
          <w:szCs w:val="28"/>
        </w:rPr>
        <w:t xml:space="preserve">;</w:t>
      </w: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Style w:val="931"/>
        <w:numPr>
          <w:ilvl w:val="0"/>
          <w:numId w:val="4"/>
        </w:numPr>
        <w:pBdr/>
        <w:spacing w:after="0" w:line="240" w:lineRule="auto"/>
        <w:ind w:firstLine="360" w:left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організаційне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та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фінансове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забезпечення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проведення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заходів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пам'ятних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дат,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вшанування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пам'яті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тощо</w:t>
      </w:r>
      <w:r>
        <w:rPr>
          <w:rFonts w:ascii="Times New Roman" w:hAnsi="Times New Roman" w:cs="Times New Roman"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Очікувані результати виконання Програми.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</w:t>
      </w:r>
      <w:r>
        <w:rPr>
          <w:rFonts w:ascii="Times New Roman" w:hAnsi="Times New Roman" w:cs="Times New Roman"/>
          <w:sz w:val="28"/>
          <w:szCs w:val="28"/>
        </w:rPr>
        <w:t xml:space="preserve">нання визначених Програмою заходів забезпечить реалізацію системної та комплексної ветеранської політики, організацію заходів фінансової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іншої соціальної підтримки ветеранів війни, Захисників і Захисниць України, членів їх сімей та членів сімей загиблих</w:t>
      </w:r>
      <w:r>
        <w:rPr>
          <w:rFonts w:ascii="Times New Roman" w:hAnsi="Times New Roman" w:cs="Times New Roman"/>
          <w:sz w:val="28"/>
          <w:szCs w:val="28"/>
        </w:rPr>
        <w:t xml:space="preserve"> (померлих) ветеранів війни, в разі необхідності, гідного посмертного вшанування та належного, безоплатного, для родини загиблого (померлого) у війні з російською федерацією, поховання військовослужбовця, учасника бойових дій, на території Менської громади</w:t>
      </w:r>
      <w:r>
        <w:rPr>
          <w:rFonts w:ascii="Times New Roman" w:hAnsi="Times New Roman" w:cs="Times New Roman"/>
          <w:sz w:val="28"/>
          <w:szCs w:val="28"/>
        </w:rPr>
        <w:t xml:space="preserve">; створить можливості належної взаємодії і співпраці ветеранських об'єднань та органу місцевого самоврядування.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6.Фінансове забезпечення Програми.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>
        <w:rPr>
          <w:rFonts w:ascii="Times New Roman" w:hAnsi="Times New Roman" w:cs="Times New Roman"/>
          <w:sz w:val="28"/>
          <w:szCs w:val="28"/>
        </w:rPr>
        <w:t xml:space="preserve">Програмою здійснюватиметься за рахунок коштів місцевого бюджету, виходячи з його фінансових можливостей, а також інших джерел фінансування, не заборонених чинним законодавством України.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tbl>
      <w:tblPr>
        <w:tblStyle w:val="926"/>
        <w:tblW w:w="0" w:type="auto"/>
        <w:tblBorders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3"/>
      </w:tblGrid>
      <w:tr>
        <w:trPr/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Джерела фінансування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gridSpan w:val="3"/>
            <w:tcBorders/>
            <w:tcW w:w="73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 тому числі за роками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246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Місцевий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нші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джерела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заборо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нені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законодавством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2027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46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940,00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900,00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960,00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рограми відбувається відповідно до кошторису заходів, який </w:t>
      </w:r>
      <w:r>
        <w:rPr>
          <w:rFonts w:ascii="Times New Roman" w:hAnsi="Times New Roman" w:cs="Times New Roman"/>
          <w:sz w:val="28"/>
          <w:szCs w:val="28"/>
        </w:rPr>
        <w:t xml:space="preserve">розробляється </w:t>
      </w:r>
      <w:r>
        <w:rPr>
          <w:rFonts w:ascii="Times New Roman" w:hAnsi="Times New Roman" w:cs="Times New Roman"/>
          <w:sz w:val="28"/>
          <w:szCs w:val="28"/>
        </w:rPr>
        <w:t xml:space="preserve">Відділом соціального захисту населення та охорони здоров’я Менської міської ради та подається на погодження </w:t>
      </w:r>
      <w:r>
        <w:rPr>
          <w:rFonts w:ascii="Times New Roman" w:hAnsi="Times New Roman" w:cs="Times New Roman"/>
          <w:sz w:val="28"/>
          <w:szCs w:val="28"/>
        </w:rPr>
        <w:t xml:space="preserve">голови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7.Управління та контроль за виконанням Програми.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uppressLineNumbers w:val="false"/>
        <w:pBdr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Головним </w:t>
      </w:r>
      <w:r>
        <w:rPr>
          <w:rFonts w:ascii="Times New Roman" w:hAnsi="Times New Roman" w:cs="Times New Roman"/>
          <w:sz w:val="28"/>
          <w:szCs w:val="28"/>
        </w:rPr>
        <w:t xml:space="preserve">виконавцем Програми є Відділ соціального захисту населення та охорони здоров’я Менської міської ради.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здійснює заступник міського голови з питань діяльності виконавчих органів ради, відповідно до розподілу функціональних обов’язків.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</w:t>
      </w:r>
      <w:r>
        <w:rPr>
          <w:rFonts w:ascii="Times New Roman" w:hAnsi="Times New Roman" w:cs="Times New Roman"/>
          <w:sz w:val="28"/>
          <w:szCs w:val="28"/>
        </w:rPr>
        <w:tab/>
        <w:t xml:space="preserve">Мар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на МОСКАЛЬЧУК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jc w:val="right"/>
      <w:rPr>
        <w:rFonts w:ascii="Times New Roman" w:hAnsi="Times New Roman" w:cs="Times New Roman"/>
        <w:bCs/>
        <w:i/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iCs/>
        <w:sz w:val="28"/>
        <w:szCs w:val="28"/>
      </w:rPr>
      <w:t xml:space="preserve">3</w:t>
    </w:r>
    <w:r>
      <w:rPr>
        <w:rFonts w:ascii="Times New Roman" w:hAnsi="Times New Roman" w:eastAsia="Times New Roman" w:cs="Times New Roman"/>
        <w:i/>
        <w:iCs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i/>
        <w:iCs/>
        <w:sz w:val="28"/>
        <w:szCs w:val="28"/>
      </w:rPr>
      <w:t xml:space="preserve">                           продовження додатка</w:t>
    </w:r>
    <w:r>
      <w:rPr>
        <w:rFonts w:ascii="Times New Roman" w:hAnsi="Times New Roman" w:cs="Times New Roman"/>
        <w:bCs/>
        <w:i/>
        <w:sz w:val="28"/>
        <w:szCs w:val="28"/>
      </w:rPr>
    </w:r>
    <w:r>
      <w:rPr>
        <w:rFonts w:ascii="Times New Roman" w:hAnsi="Times New Roman" w:cs="Times New Roman"/>
        <w:bCs/>
        <w:i/>
        <w:sz w:val="28"/>
        <w:szCs w:val="28"/>
      </w:rPr>
    </w:r>
  </w:p>
  <w:p>
    <w:pPr>
      <w:pStyle w:val="92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7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58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33">
    <w:name w:val="Heading 1 Char"/>
    <w:basedOn w:val="758"/>
    <w:link w:val="7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4">
    <w:name w:val="Heading 2 Char"/>
    <w:basedOn w:val="758"/>
    <w:link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5">
    <w:name w:val="Heading 3 Char"/>
    <w:basedOn w:val="758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6">
    <w:name w:val="Heading 4 Char"/>
    <w:basedOn w:val="758"/>
    <w:link w:val="7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5 Char"/>
    <w:basedOn w:val="758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6 Char"/>
    <w:basedOn w:val="758"/>
    <w:link w:val="7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7 Char"/>
    <w:basedOn w:val="758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8 Char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9 Char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Title Char"/>
    <w:basedOn w:val="758"/>
    <w:link w:val="771"/>
    <w:uiPriority w:val="10"/>
    <w:pPr>
      <w:pBdr/>
      <w:spacing/>
      <w:ind/>
    </w:pPr>
    <w:rPr>
      <w:sz w:val="48"/>
      <w:szCs w:val="48"/>
    </w:rPr>
  </w:style>
  <w:style w:type="character" w:styleId="743">
    <w:name w:val="Subtitle Char"/>
    <w:basedOn w:val="758"/>
    <w:link w:val="773"/>
    <w:uiPriority w:val="11"/>
    <w:pPr>
      <w:pBdr/>
      <w:spacing/>
      <w:ind/>
    </w:pPr>
    <w:rPr>
      <w:sz w:val="24"/>
      <w:szCs w:val="24"/>
    </w:rPr>
  </w:style>
  <w:style w:type="character" w:styleId="744">
    <w:name w:val="Quote Char"/>
    <w:link w:val="775"/>
    <w:uiPriority w:val="29"/>
    <w:pPr>
      <w:pBdr/>
      <w:spacing/>
      <w:ind/>
    </w:pPr>
    <w:rPr>
      <w:i/>
    </w:rPr>
  </w:style>
  <w:style w:type="character" w:styleId="745">
    <w:name w:val="Intense Quote Char"/>
    <w:link w:val="777"/>
    <w:uiPriority w:val="30"/>
    <w:pPr>
      <w:pBdr/>
      <w:spacing/>
      <w:ind/>
    </w:pPr>
    <w:rPr>
      <w:i/>
    </w:rPr>
  </w:style>
  <w:style w:type="character" w:styleId="746">
    <w:name w:val="Footnote Text Char"/>
    <w:link w:val="909"/>
    <w:uiPriority w:val="99"/>
    <w:pPr>
      <w:pBdr/>
      <w:spacing/>
      <w:ind/>
    </w:pPr>
    <w:rPr>
      <w:sz w:val="18"/>
    </w:rPr>
  </w:style>
  <w:style w:type="character" w:styleId="747">
    <w:name w:val="Endnote Text Char"/>
    <w:link w:val="912"/>
    <w:uiPriority w:val="99"/>
    <w:pPr>
      <w:pBdr/>
      <w:spacing/>
      <w:ind/>
    </w:pPr>
    <w:rPr>
      <w:sz w:val="20"/>
    </w:rPr>
  </w:style>
  <w:style w:type="paragraph" w:styleId="748" w:default="1">
    <w:name w:val="Normal"/>
    <w:qFormat/>
    <w:pPr>
      <w:pBdr/>
      <w:spacing/>
      <w:ind/>
    </w:pPr>
  </w:style>
  <w:style w:type="paragraph" w:styleId="749">
    <w:name w:val="Heading 1"/>
    <w:basedOn w:val="748"/>
    <w:next w:val="748"/>
    <w:link w:val="761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0">
    <w:name w:val="Heading 2"/>
    <w:basedOn w:val="748"/>
    <w:next w:val="748"/>
    <w:link w:val="762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51">
    <w:name w:val="Heading 3"/>
    <w:basedOn w:val="748"/>
    <w:next w:val="748"/>
    <w:link w:val="76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basedOn w:val="748"/>
    <w:next w:val="748"/>
    <w:link w:val="764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748"/>
    <w:next w:val="748"/>
    <w:link w:val="76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748"/>
    <w:next w:val="748"/>
    <w:link w:val="766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55">
    <w:name w:val="Heading 7"/>
    <w:basedOn w:val="748"/>
    <w:next w:val="748"/>
    <w:link w:val="76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6">
    <w:name w:val="Heading 8"/>
    <w:basedOn w:val="748"/>
    <w:next w:val="748"/>
    <w:link w:val="768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57">
    <w:name w:val="Heading 9"/>
    <w:basedOn w:val="748"/>
    <w:next w:val="748"/>
    <w:link w:val="76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 w:customStyle="1">
    <w:name w:val="Заголовок 1 Знак"/>
    <w:basedOn w:val="758"/>
    <w:link w:val="7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2" w:customStyle="1">
    <w:name w:val="Заголовок 2 Знак"/>
    <w:basedOn w:val="758"/>
    <w:link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3" w:customStyle="1">
    <w:name w:val="Заголовок 3 Знак"/>
    <w:basedOn w:val="758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4" w:customStyle="1">
    <w:name w:val="Заголовок 4 Знак"/>
    <w:basedOn w:val="758"/>
    <w:link w:val="7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Заголовок 5 Знак"/>
    <w:basedOn w:val="758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Заголовок 6 Знак"/>
    <w:basedOn w:val="758"/>
    <w:link w:val="7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Заголовок 7 Знак"/>
    <w:basedOn w:val="758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Заголовок 8 Знак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Заголовок 9 Знак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0">
    <w:name w:val="No Spacing"/>
    <w:uiPriority w:val="1"/>
    <w:qFormat/>
    <w:pPr>
      <w:pBdr/>
      <w:spacing w:after="0" w:line="240" w:lineRule="auto"/>
      <w:ind/>
    </w:pPr>
  </w:style>
  <w:style w:type="paragraph" w:styleId="771">
    <w:name w:val="Title"/>
    <w:basedOn w:val="748"/>
    <w:next w:val="748"/>
    <w:link w:val="77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2" w:customStyle="1">
    <w:name w:val="Название Знак"/>
    <w:basedOn w:val="758"/>
    <w:link w:val="771"/>
    <w:uiPriority w:val="10"/>
    <w:pPr>
      <w:pBdr/>
      <w:spacing/>
      <w:ind/>
    </w:pPr>
    <w:rPr>
      <w:sz w:val="48"/>
      <w:szCs w:val="48"/>
    </w:rPr>
  </w:style>
  <w:style w:type="paragraph" w:styleId="773">
    <w:name w:val="Subtitle"/>
    <w:basedOn w:val="748"/>
    <w:next w:val="748"/>
    <w:link w:val="774"/>
    <w:uiPriority w:val="11"/>
    <w:qFormat/>
    <w:pPr>
      <w:pBdr/>
      <w:spacing w:before="200"/>
      <w:ind/>
    </w:pPr>
    <w:rPr>
      <w:sz w:val="24"/>
      <w:szCs w:val="24"/>
    </w:rPr>
  </w:style>
  <w:style w:type="character" w:styleId="774" w:customStyle="1">
    <w:name w:val="Подзаголовок Знак"/>
    <w:basedOn w:val="758"/>
    <w:link w:val="773"/>
    <w:uiPriority w:val="11"/>
    <w:pPr>
      <w:pBdr/>
      <w:spacing/>
      <w:ind/>
    </w:pPr>
    <w:rPr>
      <w:sz w:val="24"/>
      <w:szCs w:val="24"/>
    </w:rPr>
  </w:style>
  <w:style w:type="paragraph" w:styleId="775">
    <w:name w:val="Quote"/>
    <w:basedOn w:val="748"/>
    <w:next w:val="748"/>
    <w:link w:val="776"/>
    <w:uiPriority w:val="29"/>
    <w:qFormat/>
    <w:pPr>
      <w:pBdr/>
      <w:spacing/>
      <w:ind w:right="720" w:left="720"/>
    </w:pPr>
    <w:rPr>
      <w:i/>
    </w:rPr>
  </w:style>
  <w:style w:type="character" w:styleId="776" w:customStyle="1">
    <w:name w:val="Цитата 2 Знак"/>
    <w:link w:val="775"/>
    <w:uiPriority w:val="29"/>
    <w:pPr>
      <w:pBdr/>
      <w:spacing/>
      <w:ind/>
    </w:pPr>
    <w:rPr>
      <w:i/>
    </w:rPr>
  </w:style>
  <w:style w:type="paragraph" w:styleId="777">
    <w:name w:val="Intense Quote"/>
    <w:basedOn w:val="748"/>
    <w:next w:val="748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8" w:customStyle="1">
    <w:name w:val="Выделенная цитата Знак"/>
    <w:link w:val="777"/>
    <w:uiPriority w:val="30"/>
    <w:pPr>
      <w:pBdr/>
      <w:spacing/>
      <w:ind/>
    </w:pPr>
    <w:rPr>
      <w:i/>
    </w:rPr>
  </w:style>
  <w:style w:type="character" w:styleId="779" w:customStyle="1">
    <w:name w:val="Header Char"/>
    <w:basedOn w:val="758"/>
    <w:uiPriority w:val="99"/>
    <w:pPr>
      <w:pBdr/>
      <w:spacing/>
      <w:ind/>
    </w:pPr>
  </w:style>
  <w:style w:type="character" w:styleId="780" w:customStyle="1">
    <w:name w:val="Footer Char"/>
    <w:basedOn w:val="758"/>
    <w:uiPriority w:val="99"/>
    <w:pPr>
      <w:pBdr/>
      <w:spacing/>
      <w:ind/>
    </w:pPr>
  </w:style>
  <w:style w:type="paragraph" w:styleId="781">
    <w:name w:val="Caption"/>
    <w:basedOn w:val="748"/>
    <w:next w:val="748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82" w:customStyle="1">
    <w:name w:val="Caption Char"/>
    <w:uiPriority w:val="99"/>
    <w:pPr>
      <w:pBdr/>
      <w:spacing/>
      <w:ind/>
    </w:pPr>
  </w:style>
  <w:style w:type="table" w:styleId="783" w:customStyle="1">
    <w:name w:val="Table Grid Light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1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Plain Table 2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Plain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59"/>
    <w:link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1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2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3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4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5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6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1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2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3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4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5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6"/>
    <w:basedOn w:val="759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1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6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9">
    <w:name w:val="footnote text"/>
    <w:basedOn w:val="748"/>
    <w:link w:val="91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0" w:customStyle="1">
    <w:name w:val="Текст сноски Знак"/>
    <w:link w:val="909"/>
    <w:uiPriority w:val="99"/>
    <w:pPr>
      <w:pBdr/>
      <w:spacing/>
      <w:ind/>
    </w:pPr>
    <w:rPr>
      <w:sz w:val="18"/>
    </w:rPr>
  </w:style>
  <w:style w:type="character" w:styleId="911">
    <w:name w:val="footnote reference"/>
    <w:basedOn w:val="758"/>
    <w:uiPriority w:val="99"/>
    <w:unhideWhenUsed/>
    <w:pPr>
      <w:pBdr/>
      <w:spacing/>
      <w:ind/>
    </w:pPr>
    <w:rPr>
      <w:vertAlign w:val="superscript"/>
    </w:rPr>
  </w:style>
  <w:style w:type="paragraph" w:styleId="912">
    <w:name w:val="endnote text"/>
    <w:basedOn w:val="748"/>
    <w:link w:val="91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3" w:customStyle="1">
    <w:name w:val="Текст концевой сноски Знак"/>
    <w:link w:val="912"/>
    <w:uiPriority w:val="99"/>
    <w:pPr>
      <w:pBdr/>
      <w:spacing/>
      <w:ind/>
    </w:pPr>
    <w:rPr>
      <w:sz w:val="20"/>
    </w:rPr>
  </w:style>
  <w:style w:type="character" w:styleId="914">
    <w:name w:val="end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paragraph" w:styleId="915">
    <w:name w:val="toc 1"/>
    <w:basedOn w:val="748"/>
    <w:next w:val="748"/>
    <w:uiPriority w:val="39"/>
    <w:unhideWhenUsed/>
    <w:pPr>
      <w:pBdr/>
      <w:spacing w:after="57"/>
      <w:ind/>
    </w:pPr>
  </w:style>
  <w:style w:type="paragraph" w:styleId="916">
    <w:name w:val="toc 2"/>
    <w:basedOn w:val="748"/>
    <w:next w:val="748"/>
    <w:uiPriority w:val="39"/>
    <w:unhideWhenUsed/>
    <w:pPr>
      <w:pBdr/>
      <w:spacing w:after="57"/>
      <w:ind w:left="283"/>
    </w:pPr>
  </w:style>
  <w:style w:type="paragraph" w:styleId="917">
    <w:name w:val="toc 3"/>
    <w:basedOn w:val="748"/>
    <w:next w:val="748"/>
    <w:uiPriority w:val="39"/>
    <w:unhideWhenUsed/>
    <w:pPr>
      <w:pBdr/>
      <w:spacing w:after="57"/>
      <w:ind w:left="567"/>
    </w:pPr>
  </w:style>
  <w:style w:type="paragraph" w:styleId="918">
    <w:name w:val="toc 4"/>
    <w:basedOn w:val="748"/>
    <w:next w:val="748"/>
    <w:uiPriority w:val="39"/>
    <w:unhideWhenUsed/>
    <w:pPr>
      <w:pBdr/>
      <w:spacing w:after="57"/>
      <w:ind w:left="850"/>
    </w:pPr>
  </w:style>
  <w:style w:type="paragraph" w:styleId="919">
    <w:name w:val="toc 5"/>
    <w:basedOn w:val="748"/>
    <w:next w:val="748"/>
    <w:uiPriority w:val="39"/>
    <w:unhideWhenUsed/>
    <w:pPr>
      <w:pBdr/>
      <w:spacing w:after="57"/>
      <w:ind w:left="1134"/>
    </w:pPr>
  </w:style>
  <w:style w:type="paragraph" w:styleId="920">
    <w:name w:val="toc 6"/>
    <w:basedOn w:val="748"/>
    <w:next w:val="748"/>
    <w:uiPriority w:val="39"/>
    <w:unhideWhenUsed/>
    <w:pPr>
      <w:pBdr/>
      <w:spacing w:after="57"/>
      <w:ind w:left="1417"/>
    </w:pPr>
  </w:style>
  <w:style w:type="paragraph" w:styleId="921">
    <w:name w:val="toc 7"/>
    <w:basedOn w:val="748"/>
    <w:next w:val="748"/>
    <w:uiPriority w:val="39"/>
    <w:unhideWhenUsed/>
    <w:pPr>
      <w:pBdr/>
      <w:spacing w:after="57"/>
      <w:ind w:left="1701"/>
    </w:pPr>
  </w:style>
  <w:style w:type="paragraph" w:styleId="922">
    <w:name w:val="toc 8"/>
    <w:basedOn w:val="748"/>
    <w:next w:val="748"/>
    <w:uiPriority w:val="39"/>
    <w:unhideWhenUsed/>
    <w:pPr>
      <w:pBdr/>
      <w:spacing w:after="57"/>
      <w:ind w:left="1984"/>
    </w:pPr>
  </w:style>
  <w:style w:type="paragraph" w:styleId="923">
    <w:name w:val="toc 9"/>
    <w:basedOn w:val="748"/>
    <w:next w:val="748"/>
    <w:uiPriority w:val="39"/>
    <w:unhideWhenUsed/>
    <w:pPr>
      <w:pBdr/>
      <w:spacing w:after="57"/>
      <w:ind w:left="2268"/>
    </w:pPr>
  </w:style>
  <w:style w:type="paragraph" w:styleId="924">
    <w:name w:val="TOC Heading"/>
    <w:uiPriority w:val="39"/>
    <w:unhideWhenUsed/>
    <w:pPr>
      <w:pBdr/>
      <w:spacing/>
      <w:ind/>
    </w:pPr>
  </w:style>
  <w:style w:type="paragraph" w:styleId="925">
    <w:name w:val="table of figures"/>
    <w:basedOn w:val="748"/>
    <w:next w:val="748"/>
    <w:uiPriority w:val="99"/>
    <w:unhideWhenUsed/>
    <w:pPr>
      <w:pBdr/>
      <w:spacing w:after="0"/>
      <w:ind/>
    </w:pPr>
  </w:style>
  <w:style w:type="table" w:styleId="926">
    <w:name w:val="Table Grid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7">
    <w:name w:val="Header"/>
    <w:basedOn w:val="748"/>
    <w:link w:val="928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28" w:customStyle="1">
    <w:name w:val="Верхний колонтитул Знак"/>
    <w:basedOn w:val="758"/>
    <w:link w:val="927"/>
    <w:uiPriority w:val="99"/>
    <w:pPr>
      <w:pBdr/>
      <w:spacing/>
      <w:ind/>
    </w:pPr>
  </w:style>
  <w:style w:type="paragraph" w:styleId="929">
    <w:name w:val="Footer"/>
    <w:basedOn w:val="748"/>
    <w:link w:val="93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0" w:customStyle="1">
    <w:name w:val="Нижний колонтитул Знак"/>
    <w:basedOn w:val="758"/>
    <w:link w:val="929"/>
    <w:uiPriority w:val="99"/>
    <w:pPr>
      <w:pBdr/>
      <w:spacing/>
      <w:ind/>
    </w:pPr>
  </w:style>
  <w:style w:type="paragraph" w:styleId="931">
    <w:name w:val="List Paragraph"/>
    <w:basedOn w:val="748"/>
    <w:uiPriority w:val="34"/>
    <w:qFormat/>
    <w:pPr>
      <w:pBdr/>
      <w:spacing/>
      <w:ind w:left="720"/>
      <w:contextualSpacing w:val="true"/>
    </w:pPr>
  </w:style>
  <w:style w:type="paragraph" w:styleId="932" w:customStyle="1">
    <w:name w:val="Основной текст1"/>
    <w:link w:val="848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Ільченко</dc:creator>
  <cp:lastModifiedBy>Москальчук Марина Віталіївна*</cp:lastModifiedBy>
  <cp:revision>21</cp:revision>
  <dcterms:created xsi:type="dcterms:W3CDTF">2024-11-29T10:12:00Z</dcterms:created>
  <dcterms:modified xsi:type="dcterms:W3CDTF">2024-12-23T11:51:13Z</dcterms:modified>
</cp:coreProperties>
</file>