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tabs>
          <w:tab w:val="left" w:leader="none" w:pos="567"/>
        </w:tabs>
        <w:spacing w:after="0" w:afterAutospacing="0" w:before="0" w:beforeAutospacing="0" w:line="240" w:lineRule="auto"/>
        <w:ind w:right="-2" w:left="566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Додаток 1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Bdr/>
        <w:tabs>
          <w:tab w:val="left" w:leader="none" w:pos="567"/>
        </w:tabs>
        <w:spacing w:after="0" w:afterAutospacing="0" w:before="0" w:beforeAutospacing="0" w:line="240" w:lineRule="auto"/>
        <w:ind w:right="-2" w:left="566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56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Bdr/>
        <w:tabs>
          <w:tab w:val="left" w:leader="none" w:pos="567"/>
        </w:tabs>
        <w:spacing w:after="0" w:afterAutospacing="0" w:before="0" w:beforeAutospacing="0" w:line="240" w:lineRule="auto"/>
        <w:ind w:right="-2" w:left="5669"/>
        <w:jc w:val="both"/>
        <w:rPr>
          <w:rFonts w:ascii="Times New Roman" w:hAnsi="Times New Roman" w:eastAsia="Times New Roman"/>
          <w:sz w:val="28"/>
          <w:lang w:val="ru-RU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19 грудня </w:t>
      </w:r>
      <w:r>
        <w:rPr>
          <w:rFonts w:ascii="Times New Roman" w:hAnsi="Times New Roman"/>
          <w:sz w:val="28"/>
          <w:szCs w:val="20"/>
        </w:rPr>
        <w:t xml:space="preserve">202</w:t>
      </w:r>
      <w:r>
        <w:rPr>
          <w:rFonts w:ascii="Times New Roman" w:hAnsi="Times New Roman"/>
          <w:sz w:val="28"/>
          <w:szCs w:val="20"/>
          <w:lang w:val="ru-RU"/>
        </w:rPr>
        <w:t xml:space="preserve">4</w:t>
      </w:r>
      <w:r>
        <w:rPr>
          <w:rFonts w:ascii="Times New Roman" w:hAnsi="Times New Roman"/>
          <w:sz w:val="28"/>
          <w:szCs w:val="20"/>
        </w:rPr>
        <w:t xml:space="preserve"> року № 724</w:t>
      </w:r>
      <w:r>
        <w:rPr>
          <w:rFonts w:ascii="Times New Roman" w:hAnsi="Times New Roman" w:eastAsia="Times New Roman"/>
          <w:sz w:val="28"/>
          <w:lang w:val="ru-RU"/>
        </w:rPr>
      </w:r>
      <w:r>
        <w:rPr>
          <w:rFonts w:ascii="Times New Roman" w:hAnsi="Times New Roman" w:eastAsia="Times New Roman"/>
          <w:sz w:val="28"/>
          <w:lang w:val="ru-RU"/>
        </w:rPr>
      </w:r>
    </w:p>
    <w:p>
      <w:pPr>
        <w:pBdr/>
        <w:tabs>
          <w:tab w:val="left" w:leader="none" w:pos="567"/>
        </w:tabs>
        <w:spacing w:after="0" w:afterAutospacing="0" w:before="0" w:beforeAutospacing="0" w:line="240" w:lineRule="auto"/>
        <w:ind w:right="-2" w:left="637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Bdr/>
        <w:spacing w:after="0" w:afterAutospacing="0" w:before="0" w:beforeAutospacing="0" w:line="240" w:lineRule="auto"/>
        <w:ind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</w:r>
      <w:r>
        <w:rPr>
          <w:rFonts w:ascii="Times New Roman" w:hAnsi="Times New Roman"/>
          <w:color w:val="ff0000"/>
        </w:rPr>
      </w:r>
      <w:r>
        <w:rPr>
          <w:rFonts w:ascii="Times New Roman" w:hAnsi="Times New Roman"/>
          <w:color w:val="ff0000"/>
        </w:rPr>
      </w:r>
    </w:p>
    <w:p>
      <w:pPr>
        <w:keepNext w:val="true"/>
        <w:numPr>
          <w:ilvl w:val="3"/>
          <w:numId w:val="0"/>
        </w:numPr>
        <w:pBdr/>
        <w:tabs>
          <w:tab w:val="left" w:leader="none" w:pos="3544"/>
          <w:tab w:val="left" w:leader="none" w:pos="3686"/>
        </w:tabs>
        <w:spacing w:after="0" w:afterAutospacing="0" w:before="0" w:beforeAutospacing="0" w:line="240" w:lineRule="auto"/>
        <w:ind w:right="-1"/>
        <w:jc w:val="center"/>
        <w:outlineLvl w:val="3"/>
        <w:rPr>
          <w:rFonts w:ascii="Times New Roman" w:hAnsi="Times New Roman" w:eastAsia="Times New Roman"/>
          <w:color w:val="000000"/>
          <w:lang w:eastAsia="uk-UA"/>
        </w:rPr>
      </w:pP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</w:p>
    <w:p>
      <w:pPr>
        <w:keepNext w:val="true"/>
        <w:numPr>
          <w:ilvl w:val="3"/>
          <w:numId w:val="0"/>
        </w:numPr>
        <w:pBdr/>
        <w:tabs>
          <w:tab w:val="left" w:leader="none" w:pos="3544"/>
          <w:tab w:val="left" w:leader="none" w:pos="3686"/>
        </w:tabs>
        <w:spacing w:after="0" w:afterAutospacing="0" w:before="0" w:beforeAutospacing="0" w:line="240" w:lineRule="auto"/>
        <w:ind w:right="-1"/>
        <w:jc w:val="center"/>
        <w:outlineLvl w:val="3"/>
        <w:rPr>
          <w:rFonts w:ascii="Times New Roman" w:hAnsi="Times New Roman" w:eastAsia="Times New Roman"/>
          <w:color w:val="000000"/>
          <w:lang w:eastAsia="uk-UA"/>
        </w:rPr>
      </w:pP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</w:p>
    <w:p>
      <w:pPr>
        <w:keepNext w:val="true"/>
        <w:numPr>
          <w:ilvl w:val="3"/>
          <w:numId w:val="0"/>
        </w:numPr>
        <w:pBdr/>
        <w:tabs>
          <w:tab w:val="left" w:leader="none" w:pos="3544"/>
          <w:tab w:val="left" w:leader="none" w:pos="3686"/>
        </w:tabs>
        <w:spacing w:after="0" w:afterAutospacing="0" w:before="0" w:beforeAutospacing="0" w:line="240" w:lineRule="auto"/>
        <w:ind w:right="-1"/>
        <w:jc w:val="center"/>
        <w:outlineLvl w:val="3"/>
        <w:rPr>
          <w:rFonts w:ascii="Times New Roman" w:hAnsi="Times New Roman" w:eastAsia="Times New Roman"/>
          <w:color w:val="000000"/>
          <w:lang w:eastAsia="uk-UA"/>
        </w:rPr>
      </w:pP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</w:p>
    <w:p>
      <w:pPr>
        <w:keepNext w:val="true"/>
        <w:numPr>
          <w:ilvl w:val="3"/>
          <w:numId w:val="0"/>
        </w:numPr>
        <w:pBdr/>
        <w:tabs>
          <w:tab w:val="left" w:leader="none" w:pos="3544"/>
          <w:tab w:val="left" w:leader="none" w:pos="3686"/>
        </w:tabs>
        <w:spacing w:after="0" w:afterAutospacing="0" w:before="0" w:beforeAutospacing="0" w:line="240" w:lineRule="auto"/>
        <w:ind w:right="-1"/>
        <w:jc w:val="center"/>
        <w:outlineLvl w:val="3"/>
        <w:rPr>
          <w:rFonts w:ascii="Times New Roman" w:hAnsi="Times New Roman" w:eastAsia="Times New Roman"/>
          <w:color w:val="000000"/>
          <w:lang w:eastAsia="uk-UA"/>
        </w:rPr>
      </w:pP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</w:p>
    <w:p>
      <w:pPr>
        <w:keepNext w:val="true"/>
        <w:numPr>
          <w:ilvl w:val="3"/>
          <w:numId w:val="0"/>
        </w:numPr>
        <w:pBdr/>
        <w:tabs>
          <w:tab w:val="left" w:leader="none" w:pos="3544"/>
          <w:tab w:val="left" w:leader="none" w:pos="3686"/>
        </w:tabs>
        <w:spacing w:after="0" w:afterAutospacing="0" w:before="0" w:beforeAutospacing="0" w:line="240" w:lineRule="auto"/>
        <w:ind w:right="-1"/>
        <w:jc w:val="center"/>
        <w:outlineLvl w:val="3"/>
        <w:rPr>
          <w:rFonts w:ascii="Times New Roman" w:hAnsi="Times New Roman" w:eastAsia="Times New Roman"/>
          <w:color w:val="000000"/>
          <w:lang w:eastAsia="uk-UA"/>
        </w:rPr>
      </w:pP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</w:p>
    <w:p>
      <w:pPr>
        <w:keepNext w:val="true"/>
        <w:numPr>
          <w:ilvl w:val="3"/>
          <w:numId w:val="0"/>
        </w:numPr>
        <w:pBdr/>
        <w:tabs>
          <w:tab w:val="left" w:leader="none" w:pos="3544"/>
          <w:tab w:val="left" w:leader="none" w:pos="3686"/>
        </w:tabs>
        <w:spacing w:after="0" w:afterAutospacing="0" w:before="0" w:beforeAutospacing="0" w:line="240" w:lineRule="auto"/>
        <w:ind w:right="-1"/>
        <w:jc w:val="center"/>
        <w:outlineLvl w:val="3"/>
        <w:rPr>
          <w:rFonts w:ascii="Times New Roman" w:hAnsi="Times New Roman" w:eastAsia="Times New Roman"/>
          <w:color w:val="000000"/>
          <w:lang w:eastAsia="uk-UA"/>
        </w:rPr>
      </w:pP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</w:p>
    <w:p>
      <w:pPr>
        <w:keepNext w:val="true"/>
        <w:numPr>
          <w:ilvl w:val="3"/>
          <w:numId w:val="0"/>
        </w:numPr>
        <w:pBdr/>
        <w:tabs>
          <w:tab w:val="left" w:leader="none" w:pos="3544"/>
          <w:tab w:val="left" w:leader="none" w:pos="3686"/>
        </w:tabs>
        <w:spacing w:after="0" w:afterAutospacing="0" w:before="0" w:beforeAutospacing="0" w:line="240" w:lineRule="auto"/>
        <w:ind w:right="-1"/>
        <w:jc w:val="center"/>
        <w:outlineLvl w:val="3"/>
        <w:rPr>
          <w:rFonts w:ascii="Times New Roman" w:hAnsi="Times New Roman" w:eastAsia="Times New Roman"/>
          <w:color w:val="000000"/>
          <w:lang w:eastAsia="uk-UA"/>
        </w:rPr>
      </w:pP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</w:p>
    <w:p>
      <w:pPr>
        <w:keepNext w:val="true"/>
        <w:numPr>
          <w:ilvl w:val="3"/>
          <w:numId w:val="0"/>
        </w:numPr>
        <w:pBdr/>
        <w:tabs>
          <w:tab w:val="left" w:leader="none" w:pos="3544"/>
          <w:tab w:val="left" w:leader="none" w:pos="3686"/>
        </w:tabs>
        <w:spacing w:after="0" w:afterAutospacing="0" w:before="0" w:beforeAutospacing="0" w:line="240" w:lineRule="auto"/>
        <w:ind w:right="-1"/>
        <w:jc w:val="center"/>
        <w:outlineLvl w:val="3"/>
        <w:rPr>
          <w:rFonts w:ascii="Times New Roman" w:hAnsi="Times New Roman" w:eastAsia="Times New Roman"/>
          <w:color w:val="000000"/>
          <w:lang w:eastAsia="uk-UA"/>
        </w:rPr>
      </w:pP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</w:p>
    <w:p>
      <w:pPr>
        <w:keepNext w:val="true"/>
        <w:numPr>
          <w:ilvl w:val="3"/>
          <w:numId w:val="0"/>
        </w:numPr>
        <w:pBdr/>
        <w:tabs>
          <w:tab w:val="left" w:leader="none" w:pos="3544"/>
          <w:tab w:val="left" w:leader="none" w:pos="3686"/>
        </w:tabs>
        <w:spacing w:after="0" w:afterAutospacing="0" w:before="0" w:beforeAutospacing="0" w:line="240" w:lineRule="auto"/>
        <w:ind w:right="-1"/>
        <w:jc w:val="center"/>
        <w:outlineLvl w:val="3"/>
        <w:rPr>
          <w:rFonts w:ascii="Times New Roman" w:hAnsi="Times New Roman" w:eastAsia="Times New Roman"/>
          <w:color w:val="000000"/>
          <w:lang w:eastAsia="uk-UA"/>
        </w:rPr>
      </w:pP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</w:p>
    <w:p>
      <w:pPr>
        <w:keepNext w:val="true"/>
        <w:numPr>
          <w:ilvl w:val="3"/>
          <w:numId w:val="0"/>
        </w:numPr>
        <w:pBdr/>
        <w:tabs>
          <w:tab w:val="left" w:leader="none" w:pos="3544"/>
          <w:tab w:val="left" w:leader="none" w:pos="3686"/>
        </w:tabs>
        <w:spacing w:after="0" w:afterAutospacing="0" w:before="0" w:beforeAutospacing="0" w:line="240" w:lineRule="auto"/>
        <w:ind w:right="-1"/>
        <w:jc w:val="center"/>
        <w:outlineLvl w:val="3"/>
        <w:rPr>
          <w:rFonts w:ascii="Times New Roman" w:hAnsi="Times New Roman" w:eastAsia="Times New Roman"/>
          <w:color w:val="000000"/>
          <w:lang w:eastAsia="uk-UA"/>
        </w:rPr>
      </w:pP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</w:p>
    <w:p>
      <w:pPr>
        <w:keepNext w:val="true"/>
        <w:numPr>
          <w:ilvl w:val="3"/>
          <w:numId w:val="0"/>
        </w:numPr>
        <w:pBdr/>
        <w:tabs>
          <w:tab w:val="left" w:leader="none" w:pos="3544"/>
          <w:tab w:val="left" w:leader="none" w:pos="3686"/>
        </w:tabs>
        <w:spacing w:after="0" w:afterAutospacing="0" w:before="0" w:beforeAutospacing="0" w:line="240" w:lineRule="auto"/>
        <w:ind w:right="-1"/>
        <w:jc w:val="center"/>
        <w:outlineLvl w:val="3"/>
        <w:rPr>
          <w:rFonts w:ascii="Times New Roman" w:hAnsi="Times New Roman" w:eastAsia="Times New Roman"/>
          <w:color w:val="000000"/>
          <w:lang w:eastAsia="uk-UA"/>
        </w:rPr>
      </w:pP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  <w:r>
        <w:rPr>
          <w:rFonts w:ascii="Times New Roman" w:hAnsi="Times New Roman" w:eastAsia="Times New Roman"/>
          <w:color w:val="000000"/>
          <w:lang w:eastAsia="uk-UA"/>
        </w:rPr>
      </w:r>
    </w:p>
    <w:p>
      <w:pPr>
        <w:keepNext w:val="true"/>
        <w:numPr>
          <w:ilvl w:val="3"/>
          <w:numId w:val="0"/>
        </w:numPr>
        <w:pBdr/>
        <w:tabs>
          <w:tab w:val="left" w:leader="none" w:pos="3544"/>
          <w:tab w:val="left" w:leader="none" w:pos="3686"/>
        </w:tabs>
        <w:spacing w:after="0" w:afterAutospacing="0" w:before="0" w:beforeAutospacing="0" w:line="240" w:lineRule="auto"/>
        <w:ind w:right="-1"/>
        <w:jc w:val="center"/>
        <w:outlineLvl w:val="3"/>
        <w:rPr>
          <w:rFonts w:ascii="Times New Roman" w:hAnsi="Times New Roman" w:eastAsia="Times New Roman"/>
          <w:sz w:val="28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ПРОГРАМА</w:t>
      </w:r>
      <w:r>
        <w:rPr>
          <w:rFonts w:ascii="Times New Roman" w:hAnsi="Times New Roman" w:eastAsia="Times New Roman"/>
          <w:sz w:val="28"/>
        </w:rPr>
      </w:r>
      <w:r>
        <w:rPr>
          <w:rFonts w:ascii="Times New Roman" w:hAnsi="Times New Roman" w:eastAsia="Times New Roman"/>
          <w:sz w:val="28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sz w:val="28"/>
          <w:szCs w:val="36"/>
          <w:lang w:eastAsia="ru-RU"/>
        </w:rPr>
      </w:pPr>
      <w:r/>
      <w:bookmarkStart w:id="0" w:name="_Hlk24645799"/>
      <w:r>
        <w:rPr>
          <w:rFonts w:ascii="Times New Roman" w:hAnsi="Times New Roman" w:eastAsia="Times New Roman"/>
          <w:b/>
          <w:sz w:val="28"/>
          <w:szCs w:val="36"/>
          <w:lang w:eastAsia="ru-RU"/>
        </w:rPr>
        <w:t xml:space="preserve">відшкодування втрат КП «Менакомунпослуга» </w:t>
      </w:r>
      <w:r>
        <w:rPr>
          <w:rFonts w:ascii="Times New Roman" w:hAnsi="Times New Roman" w:eastAsia="Times New Roman"/>
          <w:b/>
          <w:sz w:val="28"/>
          <w:szCs w:val="36"/>
          <w:lang w:eastAsia="ru-RU"/>
        </w:rPr>
      </w:r>
      <w:r>
        <w:rPr>
          <w:rFonts w:ascii="Times New Roman" w:hAnsi="Times New Roman" w:eastAsia="Times New Roman"/>
          <w:b/>
          <w:sz w:val="28"/>
          <w:szCs w:val="36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</w:rPr>
      </w:pPr>
      <w:r>
        <w:rPr>
          <w:rFonts w:ascii="Times New Roman" w:hAnsi="Times New Roman" w:eastAsia="Times New Roman"/>
          <w:b/>
          <w:sz w:val="28"/>
          <w:szCs w:val="36"/>
          <w:lang w:eastAsia="ru-RU"/>
        </w:rPr>
        <w:t xml:space="preserve">від надання послуг лазні за пільговими тарифами </w:t>
      </w:r>
      <w:bookmarkEnd w:id="0"/>
      <w:r>
        <w:rPr>
          <w:rFonts w:ascii="Times New Roman" w:hAnsi="Times New Roman" w:eastAsia="Times New Roman"/>
          <w:sz w:val="28"/>
        </w:rPr>
      </w:r>
      <w:r>
        <w:rPr>
          <w:rFonts w:ascii="Times New Roman" w:hAnsi="Times New Roman" w:eastAsia="Times New Roman"/>
          <w:sz w:val="28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</w:rPr>
      </w:pPr>
      <w:r>
        <w:rPr>
          <w:rFonts w:ascii="Times New Roman" w:hAnsi="Times New Roman" w:eastAsia="Times New Roman"/>
          <w:b/>
          <w:sz w:val="28"/>
          <w:szCs w:val="36"/>
          <w:lang w:eastAsia="ar-SA"/>
        </w:rPr>
        <w:t xml:space="preserve">на 202</w:t>
      </w:r>
      <w:r>
        <w:rPr>
          <w:rFonts w:ascii="Times New Roman" w:hAnsi="Times New Roman" w:eastAsia="Times New Roman"/>
          <w:b/>
          <w:sz w:val="28"/>
          <w:szCs w:val="36"/>
          <w:lang w:val="ru-RU" w:eastAsia="ar-SA"/>
        </w:rPr>
        <w:t xml:space="preserve">5</w:t>
      </w:r>
      <w:r>
        <w:rPr>
          <w:rFonts w:ascii="Times New Roman" w:hAnsi="Times New Roman" w:eastAsia="Times New Roman"/>
          <w:b/>
          <w:sz w:val="28"/>
          <w:szCs w:val="36"/>
          <w:lang w:eastAsia="ar-SA"/>
        </w:rPr>
        <w:t xml:space="preserve">-202</w:t>
      </w:r>
      <w:r>
        <w:rPr>
          <w:rFonts w:ascii="Times New Roman" w:hAnsi="Times New Roman" w:eastAsia="Times New Roman"/>
          <w:b/>
          <w:sz w:val="28"/>
          <w:szCs w:val="36"/>
          <w:lang w:val="ru-RU" w:eastAsia="ar-SA"/>
        </w:rPr>
        <w:t xml:space="preserve">7</w:t>
      </w:r>
      <w:r>
        <w:rPr>
          <w:rFonts w:ascii="Times New Roman" w:hAnsi="Times New Roman" w:eastAsia="Times New Roman"/>
          <w:b/>
          <w:sz w:val="28"/>
          <w:szCs w:val="36"/>
          <w:lang w:eastAsia="ar-SA"/>
        </w:rPr>
        <w:t xml:space="preserve"> роки</w:t>
      </w:r>
      <w:r>
        <w:rPr>
          <w:rFonts w:ascii="Times New Roman" w:hAnsi="Times New Roman" w:eastAsia="Times New Roman"/>
          <w:sz w:val="28"/>
        </w:rPr>
      </w:r>
      <w:r>
        <w:rPr>
          <w:rFonts w:ascii="Times New Roman" w:hAnsi="Times New Roman" w:eastAsia="Times New Roman"/>
          <w:sz w:val="28"/>
        </w:rPr>
      </w:r>
    </w:p>
    <w:p>
      <w:pPr>
        <w:pBdr/>
        <w:spacing w:after="0" w:afterAutospacing="0" w:before="0" w:beforeAutospacing="0" w:line="240" w:lineRule="auto"/>
        <w:ind/>
        <w:rPr>
          <w:rFonts w:ascii="Times New Roman" w:hAnsi="Times New Roman" w:eastAsia="Times New Roman"/>
          <w:sz w:val="28"/>
        </w:rPr>
      </w:pPr>
      <w:r>
        <w:rPr>
          <w:rFonts w:ascii="Times New Roman" w:hAnsi="Times New Roman" w:eastAsia="Times New Roman"/>
          <w:sz w:val="28"/>
        </w:rPr>
      </w:r>
      <w:r>
        <w:rPr>
          <w:rFonts w:ascii="Times New Roman" w:hAnsi="Times New Roman" w:eastAsia="Times New Roman"/>
          <w:sz w:val="28"/>
        </w:rPr>
      </w:r>
      <w:r>
        <w:rPr>
          <w:rFonts w:ascii="Times New Roman" w:hAnsi="Times New Roman" w:eastAsia="Times New Roman"/>
          <w:sz w:val="28"/>
        </w:rPr>
      </w:r>
    </w:p>
    <w:p>
      <w:pPr>
        <w:keepNext w:val="true"/>
        <w:pBdr/>
        <w:spacing w:after="0" w:afterAutospacing="0" w:before="0" w:beforeAutospacing="0" w:line="240" w:lineRule="auto"/>
        <w:ind/>
        <w:jc w:val="center"/>
        <w:outlineLvl w:val="3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sz w:val="28"/>
          <w:szCs w:val="28"/>
          <w:highlight w:val="none"/>
          <w:lang w:val="ru-RU" w:eastAsia="ru-RU"/>
        </w:rPr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sz w:val="28"/>
          <w:szCs w:val="28"/>
          <w:lang w:val="ru-RU" w:eastAsia="ru-RU"/>
        </w:rPr>
        <w:t xml:space="preserve">м.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Мена</w:t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</w:p>
    <w:p>
      <w:p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202</w:t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  <w:t xml:space="preserve">4 рік</w:t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  <w:r>
        <w:rPr>
          <w:rFonts w:ascii="Times New Roman" w:hAnsi="Times New Roman" w:eastAsia="Times New Roman"/>
          <w:sz w:val="28"/>
          <w:szCs w:val="28"/>
          <w:lang w:val="ru-RU" w:eastAsia="ru-RU"/>
        </w:rPr>
      </w:r>
    </w:p>
    <w:p>
      <w:pPr>
        <w:keepNext w:val="true"/>
        <w:pBdr/>
        <w:spacing w:after="0" w:afterAutospacing="0" w:before="0" w:beforeAutospacing="0" w:line="240" w:lineRule="auto"/>
        <w:ind/>
        <w:jc w:val="center"/>
        <w:outlineLvl w:val="3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1. Паспорт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tabs>
          <w:tab w:val="left" w:leader="none" w:pos="993"/>
        </w:tabs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Програми відшкодування втрат КП «Менакомунпослуга» від надання послуг лазні за пільговими тарифами на 202</w:t>
      </w:r>
      <w:r>
        <w:rPr>
          <w:rFonts w:ascii="Times New Roman" w:hAnsi="Times New Roman" w:eastAsia="Times New Roman"/>
          <w:b/>
          <w:bCs/>
          <w:sz w:val="28"/>
          <w:szCs w:val="28"/>
          <w:lang w:val="ru-RU" w:eastAsia="ru-RU"/>
        </w:rPr>
        <w:t xml:space="preserve">5</w:t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-202</w:t>
      </w:r>
      <w:r>
        <w:rPr>
          <w:rFonts w:ascii="Times New Roman" w:hAnsi="Times New Roman" w:eastAsia="Times New Roman"/>
          <w:b/>
          <w:bCs/>
          <w:sz w:val="28"/>
          <w:szCs w:val="28"/>
          <w:lang w:val="ru-RU" w:eastAsia="ru-RU"/>
        </w:rPr>
        <w:t xml:space="preserve">7</w:t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 роки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tabs>
          <w:tab w:val="left" w:leader="none" w:pos="993"/>
        </w:tabs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tbl>
      <w:tblPr>
        <w:tblW w:w="4852" w:type="pct"/>
        <w:tbl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single" w:color="999999" w:sz="4" w:space="0"/>
          <w:insideV w:val="single" w:color="999999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4"/>
        <w:gridCol w:w="4318"/>
        <w:gridCol w:w="4330"/>
      </w:tblGrid>
      <w:tr>
        <w:trPr>
          <w:trHeight w:val="315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numPr>
                <w:ilvl w:val="0"/>
                <w:numId w:val="1"/>
              </w:numPr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textDirection w:val="lrTb"/>
            <w:noWrap/>
          </w:tcPr>
          <w:p>
            <w:pPr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Ініціатор розроблення Програми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textDirection w:val="lrTb"/>
            <w:noWrap/>
          </w:tcPr>
          <w:p>
            <w:pPr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Менська міська рада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rPr>
          <w:cantSplit/>
          <w:trHeight w:val="322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Merge w:val="restart"/>
            <w:textDirection w:val="lrTb"/>
            <w:noWrap/>
          </w:tcPr>
          <w:p>
            <w:pPr>
              <w:numPr>
                <w:ilvl w:val="0"/>
                <w:numId w:val="1"/>
              </w:numPr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Merge w:val="restart"/>
            <w:textDirection w:val="lrTb"/>
            <w:noWrap/>
          </w:tcPr>
          <w:p>
            <w:pPr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Розробник Програми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Merge w:val="restart"/>
            <w:textDirection w:val="lrTb"/>
            <w:noWrap/>
          </w:tcPr>
          <w:p>
            <w:pPr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rPr>
          <w:cantSplit/>
          <w:trHeight w:val="276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numPr>
                <w:ilvl w:val="0"/>
                <w:numId w:val="1"/>
              </w:numPr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textDirection w:val="lrTb"/>
            <w:noWrap/>
          </w:tcPr>
          <w:p>
            <w:pPr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Учасники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 Програми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textDirection w:val="lrTb"/>
            <w:noWrap/>
          </w:tcPr>
          <w:p>
            <w:pPr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Менська міська рада, КП «Менакомунпослуга» Менської міської ради, відділ житлово-комунального господарства та комунального майна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rPr>
          <w:cantSplit/>
          <w:trHeight w:val="322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Merge w:val="restart"/>
            <w:textDirection w:val="lrTb"/>
            <w:noWrap/>
          </w:tcPr>
          <w:p>
            <w:pPr>
              <w:numPr>
                <w:ilvl w:val="0"/>
                <w:numId w:val="1"/>
              </w:numPr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Merge w:val="restart"/>
            <w:textDirection w:val="lrTb"/>
            <w:noWrap/>
          </w:tcPr>
          <w:p>
            <w:pPr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Відповідальний виконавець Програми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Merge w:val="restart"/>
            <w:textDirection w:val="lrTb"/>
            <w:noWrap/>
          </w:tcPr>
          <w:p>
            <w:pPr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rPr>
          <w:trHeight w:val="315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numPr>
                <w:ilvl w:val="0"/>
                <w:numId w:val="1"/>
              </w:numPr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textDirection w:val="lrTb"/>
            <w:noWrap/>
          </w:tcPr>
          <w:p>
            <w:pPr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Термін реалізації Програми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textDirection w:val="lrTb"/>
            <w:noWrap/>
          </w:tcPr>
          <w:p>
            <w:pPr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z w:val="28"/>
                <w:szCs w:val="28"/>
                <w:lang w:val="ru-RU"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z w:val="28"/>
                <w:szCs w:val="28"/>
                <w:lang w:val="ru-RU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 роки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rPr>
          <w:cantSplit/>
          <w:trHeight w:val="322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Merge w:val="restart"/>
            <w:textDirection w:val="lrTb"/>
            <w:noWrap/>
          </w:tcPr>
          <w:p>
            <w:pPr>
              <w:numPr>
                <w:ilvl w:val="0"/>
                <w:numId w:val="1"/>
              </w:numPr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Merge w:val="restart"/>
            <w:textDirection w:val="lrTb"/>
            <w:noWrap/>
          </w:tcPr>
          <w:p>
            <w:pPr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Перелік джерел фінансування, які беруть участь у виконанні Програми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vMerge w:val="restart"/>
            <w:textDirection w:val="lrTb"/>
            <w:noWrap/>
          </w:tcPr>
          <w:p>
            <w:pPr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Бюджет Менської міської територіальної громади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, інші незаборонені законодавством джерела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rPr>
          <w:trHeight w:val="315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numPr>
                <w:ilvl w:val="0"/>
                <w:numId w:val="1"/>
              </w:numPr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textDirection w:val="lrTb"/>
            <w:noWrap/>
          </w:tcPr>
          <w:p>
            <w:pPr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Загальний обсяг фінансових ресурсів, необхідних для виконання Програми за кошти  бюджету Менської міської територіальної громади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textDirection w:val="lrTb"/>
            <w:noWrap/>
          </w:tcPr>
          <w:p>
            <w:pPr>
              <w:pBdr/>
              <w:spacing w:after="0" w:afterAutospacing="0" w:before="0" w:beforeAutospacing="0" w:line="240" w:lineRule="auto"/>
              <w:ind/>
              <w:jc w:val="both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         Разом:  335 000 грн;</w:t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r>
          </w:p>
          <w:p>
            <w:pPr>
              <w:pBdr/>
              <w:spacing w:after="0" w:afterAutospacing="0" w:before="0" w:beforeAutospacing="0" w:line="240" w:lineRule="auto"/>
              <w:ind/>
              <w:jc w:val="both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    2025 рік – 100 000 грн.;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pBdr/>
              <w:spacing w:after="0" w:afterAutospacing="0" w:before="0" w:beforeAutospacing="0" w:line="240" w:lineRule="auto"/>
              <w:ind/>
              <w:jc w:val="both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    2026 рік – 110 000 грн.;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pBdr/>
              <w:spacing w:after="0" w:afterAutospacing="0" w:before="0" w:beforeAutospacing="0" w:line="240" w:lineRule="auto"/>
              <w:ind/>
              <w:jc w:val="both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    2027 рік – 125 000 грн.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</w:tbl>
    <w:p>
      <w:pPr>
        <w:pBdr/>
        <w:spacing w:after="0" w:afterAutospacing="0" w:before="0" w:beforeAutospacing="0" w:line="240" w:lineRule="auto"/>
        <w:ind w:firstLine="708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736"/>
        <w:pBdr/>
        <w:spacing w:after="0" w:afterAutospacing="0" w:before="0" w:beforeAutospacing="0" w:line="240" w:lineRule="auto"/>
        <w:ind w:firstLine="567" w:left="0"/>
        <w:jc w:val="center"/>
        <w:rPr>
          <w:rFonts w:ascii="Times New Roman" w:hAnsi="Times New Roman" w:eastAsia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/>
          <w:b/>
          <w:sz w:val="28"/>
          <w:shd w:val="clear" w:color="auto" w:fill="ffffff"/>
        </w:rPr>
        <w:br w:type="page" w:clear="all"/>
      </w:r>
      <w:r>
        <w:rPr>
          <w:rFonts w:ascii="Times New Roman" w:hAnsi="Times New Roman" w:eastAsia="Times New Roman"/>
          <w:b/>
          <w:sz w:val="28"/>
          <w:shd w:val="clear" w:color="auto" w:fill="ffffff"/>
        </w:rPr>
        <w:t xml:space="preserve">2. </w:t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Визначення </w:t>
      </w:r>
      <w:r>
        <w:rPr>
          <w:rFonts w:ascii="Times New Roman" w:hAnsi="Times New Roman" w:eastAsia="Times New Roman"/>
          <w:b/>
          <w:sz w:val="28"/>
          <w:shd w:val="clear" w:color="auto" w:fill="ffffff"/>
        </w:rPr>
        <w:t xml:space="preserve">проблеми</w:t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</w:rPr>
      </w:r>
    </w:p>
    <w:p>
      <w:pPr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8"/>
          <w:shd w:val="clear" w:color="auto" w:fill="ffffff"/>
        </w:rPr>
        <w:t xml:space="preserve">Конституц</w:t>
      </w:r>
      <w:r>
        <w:rPr>
          <w:rFonts w:ascii="Times New Roman" w:hAnsi="Times New Roman" w:eastAsia="Times New Roman"/>
          <w:sz w:val="28"/>
          <w:shd w:val="clear" w:color="auto" w:fill="ffffff"/>
        </w:rPr>
        <w:t xml:space="preserve">ією України гарантовано соціальний захист та гідний рівень життя кожному громадянину України. Соціальний захист найменш захищених верств населення – один з пріоритетних напрямів політики держави в цілому та Менської міської ради, зокрема. </w:t>
      </w:r>
      <w:r>
        <w:rPr>
          <w:rFonts w:ascii="Times New Roman" w:hAnsi="Times New Roman" w:eastAsia="Times New Roman"/>
          <w:lang w:val="ru-RU"/>
        </w:rPr>
      </w:r>
      <w:r>
        <w:rPr>
          <w:rFonts w:ascii="Times New Roman" w:hAnsi="Times New Roman" w:eastAsia="Times New Roman"/>
          <w:lang w:val="ru-RU"/>
        </w:rPr>
      </w:r>
    </w:p>
    <w:p>
      <w:pPr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8"/>
          <w:shd w:val="clear" w:color="auto" w:fill="ffffff"/>
        </w:rPr>
        <w:t xml:space="preserve">Соц</w:t>
      </w:r>
      <w:r>
        <w:rPr>
          <w:rFonts w:ascii="Times New Roman" w:hAnsi="Times New Roman" w:eastAsia="Times New Roman"/>
          <w:sz w:val="28"/>
          <w:shd w:val="clear" w:color="auto" w:fill="ffffff"/>
        </w:rPr>
        <w:t xml:space="preserve">іальний захист незахищених верств населення передбачає ряд заходів, направлених на зниження рівня бідності та покращення життя, матеріальних умов малозабезпечених сімей, громадян непрацездатного віку, осіб з інвалідністю, ветеранів війни та праці, інших ка</w:t>
      </w:r>
      <w:r>
        <w:rPr>
          <w:rFonts w:ascii="Times New Roman" w:hAnsi="Times New Roman" w:eastAsia="Times New Roman"/>
          <w:sz w:val="28"/>
          <w:shd w:val="clear" w:color="auto" w:fill="ffffff"/>
        </w:rPr>
        <w:t xml:space="preserve">тегорій.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8"/>
          <w:shd w:val="clear" w:color="auto" w:fill="ffffff"/>
        </w:rPr>
        <w:t xml:space="preserve">Враховуючи зростання цін і тарифів на житлово-комунальні послуги, враховуючи розмір пенсії переважної більшості громадян </w:t>
      </w:r>
      <w:bookmarkStart w:id="1" w:name="_Hlk24477467"/>
      <w:r>
        <w:rPr>
          <w:rFonts w:ascii="Times New Roman" w:hAnsi="Times New Roman" w:eastAsia="Times New Roman"/>
          <w:sz w:val="28"/>
          <w:shd w:val="clear" w:color="auto" w:fill="ffffff"/>
        </w:rPr>
        <w:t xml:space="preserve">непрацездатного віку, осіб з інвалідністю,  з метою захисту та підтримки вказаних осіб, а також інших категорій осіб (зокрема,</w:t>
      </w:r>
      <w:r>
        <w:rPr>
          <w:rFonts w:ascii="Times New Roman" w:hAnsi="Times New Roman" w:eastAsia="Times New Roman"/>
          <w:sz w:val="28"/>
          <w:shd w:val="clear" w:color="auto" w:fill="ffffff"/>
        </w:rPr>
        <w:t xml:space="preserve"> ветеранів війни, осіб, які постраждали внаслідок Чорнобильської катастрофи),</w:t>
      </w:r>
      <w:bookmarkEnd w:id="1"/>
      <w:r>
        <w:rPr>
          <w:rFonts w:ascii="Times New Roman" w:hAnsi="Times New Roman" w:eastAsia="Times New Roman"/>
          <w:sz w:val="28"/>
          <w:shd w:val="clear" w:color="auto" w:fill="ffffff"/>
        </w:rPr>
        <w:t xml:space="preserve"> є необхідність у запровадженні додаткових до встановлених законодавством гарантій щодо соціального захисту та підтримки населення</w:t>
      </w:r>
      <w:bookmarkStart w:id="2" w:name="_Hlk24642690"/>
      <w:r>
        <w:rPr>
          <w:rFonts w:ascii="Times New Roman" w:hAnsi="Times New Roman" w:eastAsia="Times New Roman"/>
          <w:sz w:val="28"/>
          <w:shd w:val="clear" w:color="auto" w:fill="ffffff"/>
        </w:rPr>
        <w:t xml:space="preserve">.</w:t>
      </w:r>
      <w:bookmarkEnd w:id="2"/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8"/>
          <w:shd w:val="clear" w:color="auto" w:fill="ffffff"/>
        </w:rPr>
        <w:t xml:space="preserve">На даний час КП «Менакомунпослуга» надає послуг</w:t>
      </w:r>
      <w:r>
        <w:rPr>
          <w:rFonts w:ascii="Times New Roman" w:hAnsi="Times New Roman" w:eastAsia="Times New Roman"/>
          <w:sz w:val="28"/>
          <w:shd w:val="clear" w:color="auto" w:fill="ffffff"/>
        </w:rPr>
        <w:t xml:space="preserve">и лазні 21 грудня 2021 року №394  прийнято рішення виконкому Менської міської ради про встановлення тарифу на послугу лазні, що надає комунальне підприємство «Менакомунпослуга» Менської міської ради - </w:t>
      </w:r>
      <w:bookmarkStart w:id="3" w:name="_Hlk24647367"/>
      <w:r>
        <w:rPr>
          <w:rFonts w:ascii="Times New Roman" w:hAnsi="Times New Roman" w:eastAsia="Times New Roman"/>
          <w:sz w:val="28"/>
          <w:shd w:val="clear" w:color="auto" w:fill="ffffff"/>
        </w:rPr>
        <w:t xml:space="preserve">відвідування лазні для однієї особи (одне помивочне міс</w:t>
      </w:r>
      <w:r>
        <w:rPr>
          <w:rFonts w:ascii="Times New Roman" w:hAnsi="Times New Roman" w:eastAsia="Times New Roman"/>
          <w:sz w:val="28"/>
          <w:shd w:val="clear" w:color="auto" w:fill="ffffff"/>
        </w:rPr>
        <w:t xml:space="preserve">це) в загальному залі лазні з використанням пару за 2 години в розмірі 150,00 грн</w:t>
      </w:r>
      <w:bookmarkEnd w:id="3"/>
      <w:r>
        <w:rPr>
          <w:rFonts w:ascii="Times New Roman" w:hAnsi="Times New Roman" w:eastAsia="Times New Roman"/>
          <w:sz w:val="28"/>
          <w:shd w:val="clear" w:color="auto" w:fill="ffffff"/>
        </w:rPr>
        <w:t xml:space="preserve">. Розмір тарифу включає витрати підприємства по наданню послуг лазні. Встановлення тарифу меншого розміру призведе до неспроможності підприємства якісно та своєчасно надавати </w:t>
      </w:r>
      <w:r>
        <w:rPr>
          <w:rFonts w:ascii="Times New Roman" w:hAnsi="Times New Roman" w:eastAsia="Times New Roman"/>
          <w:sz w:val="28"/>
          <w:shd w:val="clear" w:color="auto" w:fill="ffffff"/>
        </w:rPr>
        <w:t xml:space="preserve">вказану послугу, своєчасно сплачувати податки, збори та здійснювати платежі за енергоресурси які використовуються для надання послуги.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8"/>
          <w:shd w:val="clear" w:color="auto" w:fill="ffffff"/>
        </w:rPr>
        <w:t xml:space="preserve">Є громадяни непрацездатного віку, особи з інвалідністю, а також інші категорій осіб (зокрема, ветеранів війни, учасники </w:t>
      </w:r>
      <w:r>
        <w:rPr>
          <w:rFonts w:ascii="Times New Roman" w:hAnsi="Times New Roman" w:eastAsia="Times New Roman"/>
          <w:sz w:val="28"/>
          <w:shd w:val="clear" w:color="auto" w:fill="ffffff"/>
        </w:rPr>
        <w:t xml:space="preserve">бойових дій, осіб, які постраждали внаслідок Чорнобильської катастрофи), які користуються послугою лазні.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8"/>
          <w:shd w:val="clear" w:color="auto" w:fill="ffffff"/>
        </w:rPr>
        <w:t xml:space="preserve">Встановлення пільги на оплату послуги лазні в розмірі 33,334% (третьої частини) її ва</w:t>
      </w:r>
      <w:r>
        <w:rPr>
          <w:rFonts w:ascii="Times New Roman" w:hAnsi="Times New Roman" w:eastAsia="Times New Roman"/>
          <w:sz w:val="28"/>
          <w:shd w:val="clear" w:color="auto" w:fill="ffffff"/>
        </w:rPr>
        <w:t xml:space="preserve">ртості в сумі 50 грн. для вказаних категорій осіб – є посилення</w:t>
      </w:r>
      <w:r>
        <w:rPr>
          <w:rFonts w:ascii="Times New Roman" w:hAnsi="Times New Roman" w:eastAsia="Times New Roman"/>
          <w:sz w:val="28"/>
          <w:shd w:val="clear" w:color="auto" w:fill="ffffff"/>
        </w:rPr>
        <w:t xml:space="preserve">м їх соціального захисту, підтримкою цих осіб з метою створення належних умов для підтримання здоров'я та активного довголіття. 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afterAutospacing="0" w:before="0" w:beforeAutospacing="0" w:line="240" w:lineRule="auto"/>
        <w:ind w:firstLine="0"/>
        <w:jc w:val="center"/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3. Мета Програми</w:t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</w:p>
    <w:p>
      <w:pPr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color w:val="000000"/>
          <w:sz w:val="28"/>
          <w:shd w:val="clear" w:color="auto" w:fill="ffffff"/>
        </w:rPr>
        <w:t xml:space="preserve">Метою Програми є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hd w:val="clear" w:color="auto" w:fill="ffffff"/>
        </w:rPr>
        <w:t xml:space="preserve">забезпечення додаткових до встановлених законодавством гарантій щодо соціального захисту окремих категорій осіб, підтримки цих осіб з метою створення належних умов для підтримання їх здоров'я та активного довголіття.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Style w:val="736"/>
        <w:pBdr/>
        <w:spacing w:after="0" w:afterAutospacing="0" w:before="0" w:beforeAutospacing="0" w:line="240" w:lineRule="auto"/>
        <w:ind w:firstLine="567" w:left="0"/>
        <w:jc w:val="center"/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4. </w:t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Завдання </w:t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Програми</w:t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</w:p>
    <w:p>
      <w:pPr>
        <w:pBdr/>
        <w:tabs>
          <w:tab w:val="left" w:leader="none" w:pos="0"/>
          <w:tab w:val="left" w:leader="none" w:pos="567"/>
          <w:tab w:val="left" w:leader="none" w:pos="1276"/>
        </w:tabs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Завдання Програми - надання послуги лазні за пільговими тарифами для окремих категорій осіб та забезпечення фінансової стабільності підприємства при наданні послуги лазні за пільговими тарифами. Це можливо шляхом запровадження пільгового тарифу на послу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гу лазні для окремих категорій осіб та відшкодування втрат КП «Менакомунпослуга» від надання послуг лазні за пільговими тарифами .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tabs>
          <w:tab w:val="left" w:leader="none" w:pos="0"/>
          <w:tab w:val="left" w:leader="none" w:pos="567"/>
          <w:tab w:val="left" w:leader="none" w:pos="1276"/>
        </w:tabs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Є необхідність в прийнятті Програми, яка передбачає таке відшкодування.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tabs>
          <w:tab w:val="left" w:leader="none" w:pos="0"/>
          <w:tab w:val="left" w:leader="none" w:pos="567"/>
          <w:tab w:val="left" w:leader="none" w:pos="1276"/>
        </w:tabs>
        <w:spacing w:after="0" w:afterAutospacing="0" w:before="0" w:beforeAutospacing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Дія цієї Програми поширюється на: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36"/>
        <w:numPr>
          <w:ilvl w:val="0"/>
          <w:numId w:val="3"/>
        </w:numPr>
        <w:pBdr/>
        <w:tabs>
          <w:tab w:val="left" w:leader="none" w:pos="0"/>
          <w:tab w:val="left" w:leader="none" w:pos="567"/>
          <w:tab w:val="left" w:leader="none" w:pos="1276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пенсіонерів;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736"/>
        <w:numPr>
          <w:ilvl w:val="0"/>
          <w:numId w:val="3"/>
        </w:numPr>
        <w:pBdr/>
        <w:tabs>
          <w:tab w:val="left" w:leader="none" w:pos="0"/>
          <w:tab w:val="left" w:leader="none" w:pos="567"/>
          <w:tab w:val="left" w:leader="none" w:pos="1276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осіб з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інвалідністю;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736"/>
        <w:numPr>
          <w:ilvl w:val="0"/>
          <w:numId w:val="3"/>
        </w:numPr>
        <w:pBdr/>
        <w:tabs>
          <w:tab w:val="left" w:leader="none" w:pos="0"/>
          <w:tab w:val="left" w:leader="none" w:pos="567"/>
          <w:tab w:val="left" w:leader="none" w:pos="1276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ветеранів війни та учасників бойових дій;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736"/>
        <w:numPr>
          <w:ilvl w:val="0"/>
          <w:numId w:val="3"/>
        </w:numPr>
        <w:pBdr/>
        <w:tabs>
          <w:tab w:val="left" w:leader="none" w:pos="0"/>
          <w:tab w:val="left" w:leader="none" w:pos="567"/>
          <w:tab w:val="left" w:leader="none" w:pos="1276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осіб, які постраждали внаслідок Чорнобильської катастрофи.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tabs>
          <w:tab w:val="left" w:leader="none" w:pos="0"/>
          <w:tab w:val="left" w:leader="none" w:pos="567"/>
          <w:tab w:val="left" w:leader="none" w:pos="1276"/>
        </w:tabs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Строк виконання програми – 3 роки.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736"/>
        <w:pBdr/>
        <w:spacing w:after="0" w:afterAutospacing="0" w:before="0" w:beforeAutospacing="0" w:line="240" w:lineRule="auto"/>
        <w:ind w:firstLine="567" w:left="0"/>
        <w:jc w:val="center"/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5. </w:t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Джерела </w:t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та обсяги фінансування Програми</w:t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</w:p>
    <w:p>
      <w:pPr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Протягом року обсяг фінансування Програми за рахунок коштів бюджету Менської міської територіальної громади може змінюватись відповідно до рішення міської ради про внесення змін до бюджету на відповідний рік, виходячи з наявного фінансування ресурсу б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юджету Менської міської  територіальної громади. 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Головним розпорядником коштів за Програмою виступає Менська міська рада.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Одержувачем коштів є КП «Менакомунпослуга».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736"/>
        <w:pBdr/>
        <w:spacing w:after="0" w:afterAutospacing="0" w:before="0" w:beforeAutospacing="0" w:line="240" w:lineRule="auto"/>
        <w:ind w:firstLine="567" w:left="0"/>
        <w:jc w:val="center"/>
        <w:rPr>
          <w:rFonts w:ascii="Times New Roman" w:hAnsi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Порядок </w:t>
      </w:r>
      <w:r>
        <w:rPr>
          <w:rFonts w:ascii="Times New Roman" w:hAnsi="Times New Roman"/>
          <w:b/>
          <w:sz w:val="28"/>
          <w:szCs w:val="28"/>
        </w:rPr>
        <w:t xml:space="preserve">надання пільг на оплату послуг лазні жителям населених пунктів  Менської міської територіальної громади</w:t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</w:p>
    <w:p>
      <w:pPr>
        <w:pStyle w:val="736"/>
        <w:pBdr/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Порядок надання пільги на оплату послуг лазні жителів населених пунктів Менської міської територіальної громади визначається згідно затв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ердженого порядку.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736"/>
        <w:pBdr/>
        <w:spacing w:after="0" w:afterAutospacing="0" w:before="0" w:beforeAutospacing="0" w:line="240" w:lineRule="auto"/>
        <w:ind w:firstLine="567" w:left="0"/>
        <w:jc w:val="center"/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7. </w:t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Порядок </w:t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використання </w:t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коштів бюджету, передбачених на реалізацію Програми</w:t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</w:p>
    <w:p>
      <w:pPr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Кошти на відшкодування втрат КП «Менакомунпослуга» від надання послуг лазні за пільговими тарифами можуть використовуватись  виключно на покриття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(відшкодування) поточних витрат комунального підприємства, які виникають в процесі господарської діяльності по утриманню міської лазні, напрямок якої відповідає меті і завданням цієї Програми, у разі якщо такі витрати не покриваються доходами підприємства.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Щомісячно до 05 числа КП «Менакомунпослуга» подає до Менської міської ради, відомість про кількість осіб що скористалися послугою лазні за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пільговим тарифом з розрахунком сум відшкодування підприємству за надані послуги лазні жителям Менської міської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територіальної громади.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Менська міська рада після отримання розрахунків та відомостей від КП «Менакомунпослуга» перевіряє розрахунки і здійснює відшкодування втрат КП «Менакомунпослуга» від надання послуг лазні за пільговими тарифами.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736"/>
        <w:pBdr/>
        <w:spacing w:after="0" w:afterAutospacing="0" w:before="0" w:beforeAutospacing="0" w:line="240" w:lineRule="auto"/>
        <w:ind w:firstLine="567" w:left="0"/>
        <w:jc w:val="center"/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8.Очікувані резу</w:t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льтати від реалізації  Програми</w:t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eastAsia="ru-RU"/>
        </w:rPr>
      </w:r>
    </w:p>
    <w:p>
      <w:pPr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color w:val="000000"/>
        </w:rPr>
      </w:pPr>
      <w:r>
        <w:rPr>
          <w:rFonts w:ascii="Times New Roman" w:hAnsi="Times New Roman" w:eastAsia="Times New Roman"/>
          <w:color w:val="000000"/>
          <w:sz w:val="28"/>
          <w:shd w:val="clear" w:color="auto" w:fill="ffffff"/>
        </w:rPr>
        <w:t xml:space="preserve">П</w:t>
      </w:r>
      <w:r>
        <w:rPr>
          <w:rFonts w:ascii="Times New Roman" w:hAnsi="Times New Roman" w:eastAsia="Times New Roman"/>
          <w:color w:val="000000"/>
          <w:sz w:val="28"/>
          <w:shd w:val="clear" w:color="auto" w:fill="ffffff"/>
        </w:rPr>
        <w:t xml:space="preserve">осилити соціальний захист та підтримку окремих категорій осіб з метою створення належних умов для підтримання їх здоров'я та активного довголіття, а також забезпечить фінансову стабільніс</w:t>
      </w:r>
      <w:r>
        <w:rPr>
          <w:rFonts w:ascii="Times New Roman" w:hAnsi="Times New Roman" w:eastAsia="Times New Roman"/>
          <w:color w:val="000000"/>
          <w:sz w:val="28"/>
          <w:shd w:val="clear" w:color="auto" w:fill="ffffff"/>
        </w:rPr>
        <w:t xml:space="preserve">ть підприємства при наданні послуги лазні за пільговими тарифами.</w:t>
      </w:r>
      <w:bookmarkStart w:id="4" w:name="_GoBack"/>
      <w:r/>
      <w:bookmarkEnd w:id="4"/>
      <w:r>
        <w:rPr>
          <w:rFonts w:ascii="Times New Roman" w:hAnsi="Times New Roman" w:eastAsia="Times New Roman"/>
          <w:color w:val="000000"/>
        </w:rPr>
      </w:r>
      <w:r>
        <w:rPr>
          <w:rFonts w:ascii="Times New Roman" w:hAnsi="Times New Roman" w:eastAsia="Times New Roman"/>
          <w:color w:val="000000"/>
        </w:rPr>
      </w:r>
    </w:p>
    <w:p>
      <w:pPr>
        <w:pBdr/>
        <w:spacing w:after="0" w:afterAutospacing="0" w:before="74" w:beforeAutospacing="0" w:line="240" w:lineRule="auto"/>
        <w:ind/>
        <w:rPr>
          <w:rFonts w:ascii="Times New Roman" w:hAnsi="Times New Roman" w:eastAsia="Times New Roman"/>
          <w:sz w:val="28"/>
          <w:szCs w:val="28"/>
          <w:highlight w:val="none"/>
        </w:rPr>
      </w:pPr>
      <w:r>
        <w:rPr>
          <w:rFonts w:ascii="Times New Roman" w:hAnsi="Times New Roman" w:eastAsia="Times New Roman"/>
          <w:sz w:val="28"/>
        </w:rPr>
        <w:t xml:space="preserve">Начальник відділу </w:t>
      </w:r>
      <w:r>
        <w:rPr>
          <w:rFonts w:ascii="Times New Roman" w:hAnsi="Times New Roman" w:eastAsia="Times New Roman"/>
          <w:sz w:val="28"/>
        </w:rPr>
        <w:t xml:space="preserve">житлово - комунального </w:t>
      </w:r>
      <w:r>
        <w:rPr>
          <w:rFonts w:ascii="Times New Roman" w:hAnsi="Times New Roman" w:eastAsia="Times New Roman"/>
          <w:sz w:val="28"/>
          <w:szCs w:val="28"/>
          <w:highlight w:val="none"/>
        </w:rPr>
      </w:r>
      <w:r>
        <w:rPr>
          <w:rFonts w:ascii="Times New Roman" w:hAnsi="Times New Roman" w:eastAsia="Times New Roman"/>
          <w:sz w:val="28"/>
          <w:szCs w:val="28"/>
          <w:highlight w:val="none"/>
        </w:rPr>
      </w:r>
    </w:p>
    <w:p>
      <w:pPr>
        <w:pBdr/>
        <w:spacing w:after="0" w:afterAutospacing="0" w:before="0" w:beforeAutospacing="0" w:line="240" w:lineRule="auto"/>
        <w:ind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 xml:space="preserve">господарства</w:t>
      </w:r>
      <w:r>
        <w:rPr>
          <w:rFonts w:ascii="Times New Roman" w:hAnsi="Times New Roman" w:eastAsia="Times New Roman"/>
          <w:sz w:val="28"/>
          <w:lang w:val="ru-RU"/>
        </w:rPr>
        <w:t xml:space="preserve"> </w:t>
      </w:r>
      <w:r>
        <w:rPr>
          <w:rFonts w:ascii="Times New Roman" w:hAnsi="Times New Roman" w:eastAsia="Times New Roman"/>
          <w:sz w:val="28"/>
        </w:rPr>
        <w:t xml:space="preserve">та комунального майна 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Bdr/>
        <w:tabs>
          <w:tab w:val="left" w:leader="none" w:pos="6520"/>
        </w:tabs>
        <w:spacing w:after="0" w:afterAutospacing="0" w:before="0" w:beforeAutospacing="0" w:line="240" w:lineRule="auto"/>
        <w:ind/>
        <w:rPr>
          <w:rFonts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 w:eastAsia="Times New Roman"/>
          <w:sz w:val="28"/>
        </w:rPr>
        <w:t xml:space="preserve">Менської міської ради </w:t>
      </w:r>
      <w:r>
        <w:rPr>
          <w:rFonts w:ascii="Times New Roman" w:hAnsi="Times New Roman" w:eastAsia="Times New Roman"/>
          <w:sz w:val="28"/>
        </w:rPr>
        <w:tab/>
        <w:tab/>
      </w:r>
      <w:r>
        <w:rPr>
          <w:rFonts w:ascii="Times New Roman" w:hAnsi="Times New Roman" w:eastAsia="Times New Roman"/>
          <w:sz w:val="28"/>
          <w:lang w:val="ru-RU"/>
        </w:rPr>
        <w:t xml:space="preserve">Ірина</w:t>
      </w:r>
      <w:r>
        <w:rPr>
          <w:rFonts w:ascii="Times New Roman" w:hAnsi="Times New Roman" w:eastAsia="Times New Roman"/>
          <w:sz w:val="28"/>
        </w:rPr>
        <w:t xml:space="preserve"> </w:t>
      </w:r>
      <w:r>
        <w:rPr>
          <w:rFonts w:ascii="Times New Roman" w:hAnsi="Times New Roman" w:eastAsia="Times New Roman"/>
          <w:sz w:val="28"/>
          <w:lang w:val="ru-RU"/>
        </w:rPr>
        <w:t xml:space="preserve">ЄКИМЕНКО</w:t>
      </w:r>
      <w:r>
        <w:rPr>
          <w:rFonts w:ascii="Times New Roman" w:hAnsi="Times New Roman" w:eastAsia="Times New Roman"/>
          <w:sz w:val="28"/>
          <w:szCs w:val="28"/>
          <w:lang w:val="ru-RU"/>
        </w:rPr>
      </w:r>
      <w:r>
        <w:rPr>
          <w:rFonts w:ascii="Times New Roman" w:hAnsi="Times New Roman" w:eastAsia="Times New Roman"/>
          <w:sz w:val="28"/>
          <w:szCs w:val="28"/>
          <w:lang w:val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3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tabs>
        <w:tab w:val="left" w:leader="none" w:pos="5561"/>
        <w:tab w:val="clear" w:leader="none" w:pos="7143"/>
        <w:tab w:val="clear" w:leader="none" w:pos="14287"/>
      </w:tabs>
      <w:spacing/>
      <w:ind w:firstLine="3827"/>
      <w:jc w:val="right"/>
      <w:rPr>
        <w:rFonts w:ascii="Times New Roman" w:hAnsi="Times New Roman" w:eastAsia="Times New Roman"/>
        <w:i/>
      </w:rPr>
    </w:pPr>
    <w:r>
      <w:fldChar w:fldCharType="begin"/>
    </w:r>
    <w:r>
      <w:instrText xml:space="preserve">PAGE \* MERGEFORMAT</w:instrText>
    </w:r>
    <w:r>
      <w:fldChar w:fldCharType="separate"/>
    </w:r>
    <w:r>
      <w:rPr>
        <w:rFonts w:ascii="Times New Roman" w:hAnsi="Times New Roman" w:eastAsia="Times New Roman"/>
        <w:i/>
      </w:rPr>
      <w:t xml:space="preserve">5</w:t>
    </w:r>
    <w:r>
      <w:fldChar w:fldCharType="end"/>
    </w:r>
    <w:r>
      <w:rPr>
        <w:rFonts w:ascii="Times New Roman" w:hAnsi="Times New Roman" w:eastAsia="Times New Roman"/>
        <w:i/>
      </w:rPr>
      <w:tab/>
      <w:t xml:space="preserve">                продовження додатка</w:t>
    </w:r>
    <w:r>
      <w:rPr>
        <w:rFonts w:ascii="Times New Roman" w:hAnsi="Times New Roman" w:eastAsia="Times New Roman"/>
        <w:i/>
      </w:rPr>
    </w:r>
    <w:r>
      <w:rPr>
        <w:rFonts w:ascii="Times New Roman" w:hAnsi="Times New Roman" w:eastAsia="Times New Roman"/>
        <w:i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2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3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4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5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6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7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8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1069"/>
      </w:pPr>
      <w:rPr>
        <w:rFonts w:ascii="Times New Roman" w:hAnsi="Times New Roman" w:eastAsia="Calibri" w:cs="Times New Roman"/>
        <w:color w:val="000000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9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9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9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9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9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9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9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9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4"/>
      <w:suff w:val="tab"/>
    </w:lvl>
    <w:lvl w:ilvl="1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2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3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4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5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6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7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8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9">
    <w:name w:val="Heading 1 Char"/>
    <w:basedOn w:val="729"/>
    <w:link w:val="72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10">
    <w:name w:val="Heading 2 Char"/>
    <w:basedOn w:val="729"/>
    <w:link w:val="72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11">
    <w:name w:val="Heading 3 Char"/>
    <w:basedOn w:val="729"/>
    <w:link w:val="72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12">
    <w:name w:val="Heading 4 Char"/>
    <w:basedOn w:val="729"/>
    <w:link w:val="72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13">
    <w:name w:val="Heading 5 Char"/>
    <w:basedOn w:val="729"/>
    <w:link w:val="72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14">
    <w:name w:val="Heading 6 Char"/>
    <w:basedOn w:val="729"/>
    <w:link w:val="72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15">
    <w:name w:val="Heading 7 Char"/>
    <w:basedOn w:val="729"/>
    <w:link w:val="72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16">
    <w:name w:val="Heading 8 Char"/>
    <w:basedOn w:val="729"/>
    <w:link w:val="72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17">
    <w:name w:val="Heading 9 Char"/>
    <w:basedOn w:val="729"/>
    <w:link w:val="72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18">
    <w:name w:val="Title Char"/>
    <w:basedOn w:val="729"/>
    <w:link w:val="73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19" w:default="1">
    <w:name w:val="Normal"/>
    <w:qFormat/>
    <w:pPr>
      <w:pBdr/>
      <w:spacing w:after="200" w:line="276" w:lineRule="auto"/>
      <w:ind/>
    </w:pPr>
    <w:rPr>
      <w:sz w:val="22"/>
      <w:szCs w:val="22"/>
      <w:lang w:val="uk-UA" w:eastAsia="en-US"/>
    </w:rPr>
  </w:style>
  <w:style w:type="paragraph" w:styleId="720">
    <w:name w:val="Heading 1"/>
    <w:basedOn w:val="719"/>
    <w:next w:val="719"/>
    <w:link w:val="767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21">
    <w:name w:val="Heading 2"/>
    <w:basedOn w:val="719"/>
    <w:next w:val="719"/>
    <w:link w:val="768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722">
    <w:name w:val="Heading 3"/>
    <w:basedOn w:val="719"/>
    <w:next w:val="719"/>
    <w:link w:val="769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23">
    <w:name w:val="Heading 4"/>
    <w:basedOn w:val="719"/>
    <w:next w:val="719"/>
    <w:link w:val="770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4">
    <w:name w:val="Heading 5"/>
    <w:basedOn w:val="719"/>
    <w:next w:val="719"/>
    <w:link w:val="771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5">
    <w:name w:val="Heading 6"/>
    <w:basedOn w:val="719"/>
    <w:next w:val="719"/>
    <w:link w:val="772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726">
    <w:name w:val="Heading 7"/>
    <w:basedOn w:val="719"/>
    <w:next w:val="719"/>
    <w:link w:val="773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727">
    <w:name w:val="Heading 8"/>
    <w:basedOn w:val="719"/>
    <w:next w:val="719"/>
    <w:link w:val="774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728">
    <w:name w:val="Heading 9"/>
    <w:basedOn w:val="719"/>
    <w:next w:val="719"/>
    <w:link w:val="775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  <w:pPr>
      <w:pBdr/>
      <w:spacing/>
      <w:ind/>
    </w:pPr>
  </w:style>
  <w:style w:type="table" w:styleId="73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1" w:default="1">
    <w:name w:val="No List"/>
    <w:uiPriority w:val="99"/>
    <w:semiHidden/>
    <w:unhideWhenUsed/>
    <w:pPr>
      <w:pBdr/>
      <w:spacing/>
      <w:ind/>
    </w:pPr>
  </w:style>
  <w:style w:type="table" w:styleId="732">
    <w:name w:val="Table Grid"/>
    <w:basedOn w:val="730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33">
    <w:name w:val="Title"/>
    <w:basedOn w:val="719"/>
    <w:next w:val="719"/>
    <w:link w:val="75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4">
    <w:name w:val="Subtitle"/>
    <w:basedOn w:val="719"/>
    <w:next w:val="719"/>
    <w:link w:val="777"/>
    <w:uiPriority w:val="11"/>
    <w:qFormat/>
    <w:pPr>
      <w:pBdr/>
      <w:spacing w:before="200"/>
      <w:ind/>
    </w:pPr>
    <w:rPr>
      <w:sz w:val="24"/>
      <w:szCs w:val="24"/>
    </w:rPr>
  </w:style>
  <w:style w:type="paragraph" w:styleId="735">
    <w:name w:val="Quote"/>
    <w:basedOn w:val="719"/>
    <w:next w:val="719"/>
    <w:link w:val="778"/>
    <w:uiPriority w:val="29"/>
    <w:qFormat/>
    <w:pPr>
      <w:pBdr/>
      <w:spacing/>
      <w:ind w:right="720" w:left="720"/>
    </w:pPr>
    <w:rPr>
      <w:i/>
      <w:sz w:val="20"/>
      <w:szCs w:val="20"/>
      <w:lang w:val="en-US"/>
    </w:rPr>
  </w:style>
  <w:style w:type="paragraph" w:styleId="736">
    <w:name w:val="List Paragraph"/>
    <w:basedOn w:val="719"/>
    <w:uiPriority w:val="34"/>
    <w:qFormat/>
    <w:pPr>
      <w:pBdr/>
      <w:spacing/>
      <w:ind w:left="720"/>
      <w:contextualSpacing w:val="true"/>
    </w:pPr>
  </w:style>
  <w:style w:type="character" w:styleId="737">
    <w:name w:val="Intense Emphasis"/>
    <w:basedOn w:val="729"/>
    <w:uiPriority w:val="21"/>
    <w:qFormat/>
    <w:pPr>
      <w:pBdr/>
      <w:spacing/>
      <w:ind/>
    </w:pPr>
    <w:rPr>
      <w:i/>
      <w:iCs/>
      <w:color w:val="365f91"/>
    </w:rPr>
  </w:style>
  <w:style w:type="paragraph" w:styleId="738">
    <w:name w:val="Intense Quote"/>
    <w:basedOn w:val="719"/>
    <w:next w:val="719"/>
    <w:link w:val="77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en-US"/>
    </w:rPr>
  </w:style>
  <w:style w:type="character" w:styleId="739">
    <w:name w:val="Intense Reference"/>
    <w:basedOn w:val="729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40">
    <w:name w:val="No Spacing"/>
    <w:basedOn w:val="719"/>
    <w:uiPriority w:val="1"/>
    <w:qFormat/>
    <w:pPr>
      <w:pBdr/>
      <w:spacing/>
      <w:ind/>
    </w:pPr>
  </w:style>
  <w:style w:type="character" w:styleId="741">
    <w:name w:val="Subtle Emphasis"/>
    <w:basedOn w:val="729"/>
    <w:uiPriority w:val="19"/>
    <w:qFormat/>
    <w:pPr>
      <w:pBdr/>
      <w:spacing/>
      <w:ind/>
    </w:pPr>
    <w:rPr>
      <w:i/>
      <w:iCs/>
      <w:color w:val="404040"/>
    </w:rPr>
  </w:style>
  <w:style w:type="character" w:styleId="742">
    <w:name w:val="Emphasis"/>
    <w:basedOn w:val="729"/>
    <w:uiPriority w:val="20"/>
    <w:qFormat/>
    <w:pPr>
      <w:pBdr/>
      <w:spacing/>
      <w:ind/>
    </w:pPr>
    <w:rPr>
      <w:i/>
      <w:iCs/>
    </w:rPr>
  </w:style>
  <w:style w:type="character" w:styleId="743">
    <w:name w:val="Strong"/>
    <w:basedOn w:val="729"/>
    <w:uiPriority w:val="22"/>
    <w:qFormat/>
    <w:pPr>
      <w:pBdr/>
      <w:spacing/>
      <w:ind/>
    </w:pPr>
    <w:rPr>
      <w:b/>
      <w:bCs/>
    </w:rPr>
  </w:style>
  <w:style w:type="character" w:styleId="744">
    <w:name w:val="Subtle Reference"/>
    <w:basedOn w:val="729"/>
    <w:uiPriority w:val="31"/>
    <w:qFormat/>
    <w:pPr>
      <w:pBdr/>
      <w:spacing/>
      <w:ind/>
    </w:pPr>
    <w:rPr>
      <w:smallCaps/>
      <w:color w:val="5a5a5a"/>
    </w:rPr>
  </w:style>
  <w:style w:type="character" w:styleId="745">
    <w:name w:val="Book Title"/>
    <w:basedOn w:val="72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6">
    <w:name w:val="Header"/>
    <w:basedOn w:val="71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7">
    <w:name w:val="Footer"/>
    <w:basedOn w:val="71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8">
    <w:name w:val="Caption"/>
    <w:basedOn w:val="719"/>
    <w:next w:val="719"/>
    <w:uiPriority w:val="35"/>
    <w:unhideWhenUsed/>
    <w:qFormat/>
    <w:pPr>
      <w:pBdr/>
      <w:spacing w:line="240" w:lineRule="auto"/>
      <w:ind/>
    </w:pPr>
    <w:rPr>
      <w:i/>
      <w:iCs/>
      <w:color w:val="1f497d" w:themeColor="text2"/>
      <w:sz w:val="18"/>
      <w:szCs w:val="18"/>
    </w:rPr>
  </w:style>
  <w:style w:type="paragraph" w:styleId="749">
    <w:name w:val="footnote text"/>
    <w:basedOn w:val="719"/>
    <w:link w:val="911"/>
    <w:uiPriority w:val="99"/>
    <w:semiHidden/>
    <w:unhideWhenUsed/>
    <w:pPr>
      <w:pBdr/>
      <w:spacing w:after="40" w:line="240" w:lineRule="auto"/>
      <w:ind/>
    </w:pPr>
    <w:rPr>
      <w:sz w:val="18"/>
      <w:szCs w:val="20"/>
      <w:lang w:val="en-US"/>
    </w:rPr>
  </w:style>
  <w:style w:type="character" w:styleId="750">
    <w:name w:val="footnote reference"/>
    <w:basedOn w:val="729"/>
    <w:uiPriority w:val="99"/>
    <w:unhideWhenUsed/>
    <w:pPr>
      <w:pBdr/>
      <w:spacing/>
      <w:ind/>
    </w:pPr>
    <w:rPr>
      <w:vertAlign w:val="superscript"/>
    </w:rPr>
  </w:style>
  <w:style w:type="paragraph" w:styleId="751">
    <w:name w:val="endnote text"/>
    <w:basedOn w:val="719"/>
    <w:link w:val="912"/>
    <w:uiPriority w:val="99"/>
    <w:semiHidden/>
    <w:unhideWhenUsed/>
    <w:pPr>
      <w:pBdr/>
      <w:spacing w:after="0" w:line="240" w:lineRule="auto"/>
      <w:ind/>
    </w:pPr>
    <w:rPr>
      <w:sz w:val="20"/>
      <w:szCs w:val="20"/>
      <w:lang w:val="en-US"/>
    </w:rPr>
  </w:style>
  <w:style w:type="character" w:styleId="752">
    <w:name w:val="endnote reference"/>
    <w:basedOn w:val="729"/>
    <w:uiPriority w:val="99"/>
    <w:semiHidden/>
    <w:unhideWhenUsed/>
    <w:pPr>
      <w:pBdr/>
      <w:spacing/>
      <w:ind/>
    </w:pPr>
    <w:rPr>
      <w:vertAlign w:val="superscript"/>
    </w:rPr>
  </w:style>
  <w:style w:type="character" w:styleId="753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character" w:styleId="754">
    <w:name w:val="FollowedHyperlink"/>
    <w:basedOn w:val="729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55">
    <w:name w:val="TOC Heading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/>
    </w:rPr>
  </w:style>
  <w:style w:type="paragraph" w:styleId="756">
    <w:name w:val="table of figures"/>
    <w:basedOn w:val="719"/>
    <w:next w:val="719"/>
    <w:uiPriority w:val="99"/>
    <w:unhideWhenUsed/>
    <w:pPr>
      <w:pBdr/>
      <w:spacing w:after="0"/>
      <w:ind/>
    </w:pPr>
  </w:style>
  <w:style w:type="paragraph" w:styleId="757" w:customStyle="1">
    <w:name w:val="Название"/>
    <w:basedOn w:val="719"/>
    <w:next w:val="719"/>
    <w:link w:val="776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58" w:customStyle="1">
    <w:name w:val="Заголовок Знак"/>
    <w:basedOn w:val="729"/>
    <w:link w:val="73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59" w:customStyle="1">
    <w:name w:val="Subtitle Char"/>
    <w:basedOn w:val="729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character" w:styleId="760" w:customStyle="1">
    <w:name w:val="Quote Char"/>
    <w:basedOn w:val="729"/>
    <w:uiPriority w:val="29"/>
    <w:pPr>
      <w:pBdr/>
      <w:spacing/>
      <w:ind/>
    </w:pPr>
    <w:rPr>
      <w:i/>
      <w:iCs/>
      <w:color w:val="404040"/>
    </w:rPr>
  </w:style>
  <w:style w:type="character" w:styleId="761" w:customStyle="1">
    <w:name w:val="Intense Quote Char"/>
    <w:basedOn w:val="729"/>
    <w:uiPriority w:val="30"/>
    <w:pPr>
      <w:pBdr/>
      <w:spacing/>
      <w:ind/>
    </w:pPr>
    <w:rPr>
      <w:i/>
      <w:iCs/>
      <w:color w:val="365f91"/>
    </w:rPr>
  </w:style>
  <w:style w:type="paragraph" w:styleId="762" w:customStyle="1">
    <w:name w:val="Header1"/>
    <w:basedOn w:val="71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3" w:customStyle="1">
    <w:name w:val="Footer1"/>
    <w:basedOn w:val="719"/>
    <w:link w:val="78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4" w:customStyle="1">
    <w:name w:val="Caption1"/>
    <w:basedOn w:val="719"/>
    <w:next w:val="719"/>
    <w:uiPriority w:val="35"/>
    <w:unhideWhenUsed/>
    <w:qFormat/>
    <w:pPr>
      <w:pBdr/>
      <w:spacing w:line="240" w:lineRule="auto"/>
      <w:ind/>
    </w:pPr>
    <w:rPr>
      <w:i/>
      <w:iCs/>
      <w:color w:val="1f497d"/>
      <w:sz w:val="18"/>
      <w:szCs w:val="18"/>
    </w:rPr>
  </w:style>
  <w:style w:type="character" w:styleId="765" w:customStyle="1">
    <w:name w:val="Footnote Text Char"/>
    <w:basedOn w:val="729"/>
    <w:uiPriority w:val="99"/>
    <w:semiHidden/>
    <w:pPr>
      <w:pBdr/>
      <w:spacing/>
      <w:ind/>
    </w:pPr>
    <w:rPr>
      <w:sz w:val="20"/>
      <w:szCs w:val="20"/>
    </w:rPr>
  </w:style>
  <w:style w:type="character" w:styleId="766" w:customStyle="1">
    <w:name w:val="Endnote Text Char"/>
    <w:basedOn w:val="729"/>
    <w:uiPriority w:val="99"/>
    <w:semiHidden/>
    <w:pPr>
      <w:pBdr/>
      <w:spacing/>
      <w:ind/>
    </w:pPr>
    <w:rPr>
      <w:sz w:val="20"/>
      <w:szCs w:val="20"/>
    </w:rPr>
  </w:style>
  <w:style w:type="character" w:styleId="767" w:customStyle="1">
    <w:name w:val="Заголовок 1 Знак"/>
    <w:basedOn w:val="729"/>
    <w:link w:val="720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68" w:customStyle="1">
    <w:name w:val="Заголовок 2 Знак"/>
    <w:basedOn w:val="729"/>
    <w:link w:val="721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69" w:customStyle="1">
    <w:name w:val="Заголовок 3 Знак"/>
    <w:basedOn w:val="729"/>
    <w:link w:val="72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70" w:customStyle="1">
    <w:name w:val="Заголовок 4 Знак"/>
    <w:basedOn w:val="729"/>
    <w:link w:val="723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71" w:customStyle="1">
    <w:name w:val="Заголовок 5 Знак"/>
    <w:basedOn w:val="729"/>
    <w:link w:val="724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72" w:customStyle="1">
    <w:name w:val="Заголовок 6 Знак"/>
    <w:basedOn w:val="729"/>
    <w:link w:val="725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73" w:customStyle="1">
    <w:name w:val="Заголовок 7 Знак"/>
    <w:basedOn w:val="729"/>
    <w:link w:val="726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4" w:customStyle="1">
    <w:name w:val="Заголовок 8 Знак"/>
    <w:basedOn w:val="729"/>
    <w:link w:val="7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75" w:customStyle="1">
    <w:name w:val="Заголовок 9 Знак"/>
    <w:basedOn w:val="729"/>
    <w:link w:val="72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76" w:customStyle="1">
    <w:name w:val="Название Знак"/>
    <w:basedOn w:val="729"/>
    <w:link w:val="757"/>
    <w:uiPriority w:val="10"/>
    <w:pPr>
      <w:pBdr/>
      <w:spacing/>
      <w:ind/>
    </w:pPr>
    <w:rPr>
      <w:sz w:val="48"/>
      <w:szCs w:val="48"/>
    </w:rPr>
  </w:style>
  <w:style w:type="character" w:styleId="777" w:customStyle="1">
    <w:name w:val="Подзаголовок Знак"/>
    <w:basedOn w:val="729"/>
    <w:link w:val="734"/>
    <w:uiPriority w:val="11"/>
    <w:pPr>
      <w:pBdr/>
      <w:spacing/>
      <w:ind/>
    </w:pPr>
    <w:rPr>
      <w:sz w:val="24"/>
      <w:szCs w:val="24"/>
    </w:rPr>
  </w:style>
  <w:style w:type="character" w:styleId="778" w:customStyle="1">
    <w:name w:val="Цитата 2 Знак"/>
    <w:link w:val="735"/>
    <w:uiPriority w:val="29"/>
    <w:pPr>
      <w:pBdr/>
      <w:spacing/>
      <w:ind/>
    </w:pPr>
    <w:rPr>
      <w:i/>
    </w:rPr>
  </w:style>
  <w:style w:type="character" w:styleId="779" w:customStyle="1">
    <w:name w:val="Выделенная цитата Знак"/>
    <w:link w:val="738"/>
    <w:uiPriority w:val="30"/>
    <w:pPr>
      <w:pBdr/>
      <w:spacing/>
      <w:ind/>
    </w:pPr>
    <w:rPr>
      <w:i/>
    </w:rPr>
  </w:style>
  <w:style w:type="paragraph" w:styleId="780" w:customStyle="1">
    <w:name w:val="Header1"/>
    <w:basedOn w:val="719"/>
    <w:link w:val="781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81" w:customStyle="1">
    <w:name w:val="Header Char"/>
    <w:basedOn w:val="729"/>
    <w:link w:val="780"/>
    <w:uiPriority w:val="99"/>
    <w:pPr>
      <w:pBdr/>
      <w:spacing/>
      <w:ind/>
    </w:pPr>
  </w:style>
  <w:style w:type="paragraph" w:styleId="782" w:customStyle="1">
    <w:name w:val="Footer1"/>
    <w:basedOn w:val="719"/>
    <w:link w:val="78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83" w:customStyle="1">
    <w:name w:val="Footer Char"/>
    <w:basedOn w:val="729"/>
    <w:link w:val="763"/>
    <w:uiPriority w:val="99"/>
    <w:pPr>
      <w:pBdr/>
      <w:spacing/>
      <w:ind/>
    </w:pPr>
  </w:style>
  <w:style w:type="paragraph" w:styleId="784" w:customStyle="1">
    <w:name w:val="Caption1"/>
    <w:basedOn w:val="719"/>
    <w:next w:val="719"/>
    <w:uiPriority w:val="35"/>
    <w:semiHidden/>
    <w:unhideWhenUsed/>
    <w:qFormat/>
    <w:pPr>
      <w:pBdr/>
      <w:spacing/>
      <w:ind/>
    </w:pPr>
    <w:rPr>
      <w:b/>
      <w:bCs/>
      <w:color w:val="4f81bd"/>
      <w:sz w:val="18"/>
      <w:szCs w:val="18"/>
    </w:rPr>
  </w:style>
  <w:style w:type="character" w:styleId="785" w:customStyle="1">
    <w:name w:val="Caption Char"/>
    <w:link w:val="782"/>
    <w:uiPriority w:val="99"/>
    <w:pPr>
      <w:pBdr/>
      <w:spacing/>
      <w:ind/>
    </w:pPr>
  </w:style>
  <w:style w:type="table" w:styleId="786" w:customStyle="1">
    <w:name w:val="Table Grid Light"/>
    <w:basedOn w:val="730"/>
    <w:uiPriority w:val="59"/>
    <w:pPr>
      <w:pBdr/>
      <w:spacing/>
      <w:ind/>
    </w:p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Plain Table 1"/>
    <w:basedOn w:val="730"/>
    <w:uiPriority w:val="59"/>
    <w:pPr>
      <w:pBdr/>
      <w:spacing/>
      <w:ind/>
    </w:p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Plain Table 2"/>
    <w:basedOn w:val="730"/>
    <w:uiPriority w:val="59"/>
    <w:pPr>
      <w:pBdr/>
      <w:spacing/>
      <w:ind/>
    </w:p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Plain Table 3"/>
    <w:basedOn w:val="730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Plain Table 4"/>
    <w:basedOn w:val="730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Plain Table 5"/>
    <w:basedOn w:val="730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1 Light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1 Light - Accent 1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1 Light - Accent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1 Light - Accent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1 Light - Accent 4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1 Light - Accent 5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1 Light - Accent 6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2 - Accent 1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2 - Accent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2 - Accent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2 - Accent 4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2 - Accent 5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2 - Accent 6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3 - Accent 1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3 - Accent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3 - Accent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3 - Accent 4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Grid Table 3 - Accent 5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Grid Table 3 - Accent 6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4"/>
    <w:basedOn w:val="730"/>
    <w:uiPriority w:val="59"/>
    <w:pPr>
      <w:pBdr/>
      <w:spacing/>
      <w:ind/>
    </w:p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4 - Accent 1"/>
    <w:basedOn w:val="730"/>
    <w:uiPriority w:val="59"/>
    <w:pPr>
      <w:pBdr/>
      <w:spacing/>
      <w:ind/>
    </w:p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4 - Accent 2"/>
    <w:basedOn w:val="730"/>
    <w:uiPriority w:val="59"/>
    <w:pPr>
      <w:pBdr/>
      <w:spacing/>
      <w:ind/>
    </w:p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4 - Accent 3"/>
    <w:basedOn w:val="730"/>
    <w:uiPriority w:val="59"/>
    <w:pPr>
      <w:pBdr/>
      <w:spacing/>
      <w:ind/>
    </w:p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4 - Accent 4"/>
    <w:basedOn w:val="730"/>
    <w:uiPriority w:val="59"/>
    <w:pPr>
      <w:pBdr/>
      <w:spacing/>
      <w:ind/>
    </w:p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Grid Table 4 - Accent 5"/>
    <w:basedOn w:val="730"/>
    <w:uiPriority w:val="59"/>
    <w:pPr>
      <w:pBdr/>
      <w:spacing/>
      <w:ind/>
    </w:p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Grid Table 4 - Accent 6"/>
    <w:basedOn w:val="730"/>
    <w:uiPriority w:val="59"/>
    <w:pPr>
      <w:pBdr/>
      <w:spacing/>
      <w:ind/>
    </w:p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5 Dark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5 Dark- Accent 1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5 Dark - Accent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5 Dark - Accent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5 Dark- Accent 4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5 Dark - Accent 5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5 Dark - Accent 6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6 Colorful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6 Colorful - Accent 1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6 Colorful - Accent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6 Colorful - Accent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6 Colorful - Accent 4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6 Colorful - Accent 5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6 Colorful - Accent 6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7 Colorful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7 Colorful - Accent 1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7 Colorful - Accent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7 Colorful - Accent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7 Colorful - Accent 4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7 Colorful - Accent 5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Grid Table 7 Colorful - Accent 6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1 Light"/>
    <w:basedOn w:val="730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1 Light - Accent 1"/>
    <w:basedOn w:val="730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1 Light - Accent 2"/>
    <w:basedOn w:val="730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1 Light - Accent 3"/>
    <w:basedOn w:val="730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1 Light - Accent 4"/>
    <w:basedOn w:val="730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1 Light - Accent 5"/>
    <w:basedOn w:val="730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1 Light - Accent 6"/>
    <w:basedOn w:val="730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2 - Accent 1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2 - Accent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2 - Accent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2 - Accent 4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2 - Accent 5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2 - Accent 6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3 - Accent 1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3 - Accent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3 - Accent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3 - Accent 4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st Table 3 - Accent 5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st Table 3 - Accent 6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4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4 - Accent 1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4 - Accent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4 - Accent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4 - Accent 4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List Table 4 - Accent 5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List Table 4 - Accent 6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5 Dark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5 Dark - Accent 1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shd w:val="clear" w:color="4f81bd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5 Dark - Accent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shd w:val="clear" w:color="d99695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5 Dark - Accent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shd w:val="clear" w:color="c3d69b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5 Dark - Accent 4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shd w:val="clear" w:color="b2a1c6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5 Dark - Accent 5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shd w:val="clear" w:color="92ccdc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5 Dark - Accent 6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shd w:val="clear" w:color="fac090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6 Colorful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6 Colorful - Accent 1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6 Colorful - Accent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6 Colorful - Accent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6 Colorful - Accent 4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6 Colorful - Accent 5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6 Colorful - Accent 6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7 Colorful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7 Colorful - Accent 1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7 Colorful - Accent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7 Colorful - Accent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7 Colorful - Accent 4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7 Colorful - Accent 5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st Table 7 Colorful - Accent 6"/>
    <w:basedOn w:val="730"/>
    <w:uiPriority w:val="99"/>
    <w:pPr>
      <w:pBdr/>
      <w:spacing/>
      <w:ind/>
    </w:pPr>
    <w:tblPr>
      <w:tblStyleRowBandSize w:val="1"/>
      <w:tblStyleColBandSize w:val="1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ned - Accent"/>
    <w:basedOn w:val="730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ned - Accent 1"/>
    <w:basedOn w:val="730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ned - Accent 2"/>
    <w:basedOn w:val="730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ned - Accent 3"/>
    <w:basedOn w:val="730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ned - Accent 4"/>
    <w:basedOn w:val="730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ned - Accent 5"/>
    <w:basedOn w:val="730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ned - Accent 6"/>
    <w:basedOn w:val="730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Bordered &amp; Lined - Accent"/>
    <w:basedOn w:val="730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Bordered &amp; Lined - Accent 1"/>
    <w:basedOn w:val="730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&amp; Lined - Accent 2"/>
    <w:basedOn w:val="730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Bordered &amp; Lined - Accent 3"/>
    <w:basedOn w:val="730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Bordered &amp; Lined - Accent 4"/>
    <w:basedOn w:val="730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Bordered &amp; Lined - Accent 5"/>
    <w:basedOn w:val="730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 &amp; Lined - Accent 6"/>
    <w:basedOn w:val="730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- Accent 1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 - Accent 2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- Accent 3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Bordered - Accent 4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Bordered - Accent 5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Bordered - Accent 6"/>
    <w:basedOn w:val="730"/>
    <w:uiPriority w:val="99"/>
    <w:pPr>
      <w:pBdr/>
      <w:spacing/>
      <w:ind/>
    </w:p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1" w:customStyle="1">
    <w:name w:val="Текст сноски Знак"/>
    <w:link w:val="749"/>
    <w:uiPriority w:val="99"/>
    <w:pPr>
      <w:pBdr/>
      <w:spacing/>
      <w:ind/>
    </w:pPr>
    <w:rPr>
      <w:sz w:val="18"/>
    </w:rPr>
  </w:style>
  <w:style w:type="character" w:styleId="912" w:customStyle="1">
    <w:name w:val="Текст концевой сноски Знак"/>
    <w:link w:val="751"/>
    <w:uiPriority w:val="99"/>
    <w:pPr>
      <w:pBdr/>
      <w:spacing/>
      <w:ind/>
    </w:pPr>
    <w:rPr>
      <w:sz w:val="20"/>
    </w:rPr>
  </w:style>
  <w:style w:type="paragraph" w:styleId="913">
    <w:name w:val="toc 1"/>
    <w:basedOn w:val="719"/>
    <w:next w:val="719"/>
    <w:uiPriority w:val="39"/>
    <w:unhideWhenUsed/>
    <w:pPr>
      <w:pBdr/>
      <w:spacing w:after="57"/>
      <w:ind/>
    </w:pPr>
  </w:style>
  <w:style w:type="paragraph" w:styleId="914">
    <w:name w:val="toc 2"/>
    <w:basedOn w:val="719"/>
    <w:next w:val="719"/>
    <w:uiPriority w:val="39"/>
    <w:unhideWhenUsed/>
    <w:pPr>
      <w:pBdr/>
      <w:spacing w:after="57"/>
      <w:ind w:left="283"/>
    </w:pPr>
  </w:style>
  <w:style w:type="paragraph" w:styleId="915">
    <w:name w:val="toc 3"/>
    <w:basedOn w:val="719"/>
    <w:next w:val="719"/>
    <w:uiPriority w:val="39"/>
    <w:unhideWhenUsed/>
    <w:pPr>
      <w:pBdr/>
      <w:spacing w:after="57"/>
      <w:ind w:left="567"/>
    </w:pPr>
  </w:style>
  <w:style w:type="paragraph" w:styleId="916">
    <w:name w:val="toc 4"/>
    <w:basedOn w:val="719"/>
    <w:next w:val="719"/>
    <w:uiPriority w:val="39"/>
    <w:unhideWhenUsed/>
    <w:pPr>
      <w:pBdr/>
      <w:spacing w:after="57"/>
      <w:ind w:left="850"/>
    </w:pPr>
  </w:style>
  <w:style w:type="paragraph" w:styleId="917">
    <w:name w:val="toc 5"/>
    <w:basedOn w:val="719"/>
    <w:next w:val="719"/>
    <w:uiPriority w:val="39"/>
    <w:unhideWhenUsed/>
    <w:pPr>
      <w:pBdr/>
      <w:spacing w:after="57"/>
      <w:ind w:left="1134"/>
    </w:pPr>
  </w:style>
  <w:style w:type="paragraph" w:styleId="918">
    <w:name w:val="toc 6"/>
    <w:basedOn w:val="719"/>
    <w:next w:val="719"/>
    <w:uiPriority w:val="39"/>
    <w:unhideWhenUsed/>
    <w:pPr>
      <w:pBdr/>
      <w:spacing w:after="57"/>
      <w:ind w:left="1417"/>
    </w:pPr>
  </w:style>
  <w:style w:type="paragraph" w:styleId="919">
    <w:name w:val="toc 7"/>
    <w:basedOn w:val="719"/>
    <w:next w:val="719"/>
    <w:uiPriority w:val="39"/>
    <w:unhideWhenUsed/>
    <w:pPr>
      <w:pBdr/>
      <w:spacing w:after="57"/>
      <w:ind w:left="1701"/>
    </w:pPr>
  </w:style>
  <w:style w:type="paragraph" w:styleId="920">
    <w:name w:val="toc 8"/>
    <w:basedOn w:val="719"/>
    <w:next w:val="719"/>
    <w:uiPriority w:val="39"/>
    <w:unhideWhenUsed/>
    <w:pPr>
      <w:pBdr/>
      <w:spacing w:after="57"/>
      <w:ind w:left="1984"/>
    </w:pPr>
  </w:style>
  <w:style w:type="paragraph" w:styleId="921">
    <w:name w:val="toc 9"/>
    <w:basedOn w:val="719"/>
    <w:next w:val="719"/>
    <w:uiPriority w:val="39"/>
    <w:unhideWhenUsed/>
    <w:pPr>
      <w:pBdr/>
      <w:spacing w:after="57"/>
      <w:ind w:left="2268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СТАЛЬНИЧЕНКО Юрій Валерійович</cp:lastModifiedBy>
  <cp:revision>12</cp:revision>
  <dcterms:created xsi:type="dcterms:W3CDTF">2024-11-05T09:31:00Z</dcterms:created>
  <dcterms:modified xsi:type="dcterms:W3CDTF">2024-12-21T16:30:47Z</dcterms:modified>
  <cp:version>786432</cp:version>
</cp:coreProperties>
</file>