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28"/>
          <w:szCs w:val="28"/>
          <w:lang w:eastAsia="ru-RU"/>
        </w:rPr>
      </w:pP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  <w:r>
        <w:rPr>
          <w:rFonts w:ascii="Times New Roman" w:hAnsi="Times New Roman" w:eastAsia="timesnewromanpsmt"/>
          <w:b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40"/>
          <w:szCs w:val="28"/>
        </w:rPr>
      </w:pPr>
      <w:r>
        <w:rPr>
          <w:rFonts w:ascii="Times New Roman" w:hAnsi="Times New Roman" w:eastAsia="timesnewromanpsmt"/>
          <w:b/>
          <w:sz w:val="40"/>
          <w:szCs w:val="28"/>
        </w:rPr>
      </w:r>
      <w:r>
        <w:rPr>
          <w:rFonts w:ascii="Times New Roman" w:hAnsi="Times New Roman" w:eastAsia="timesnewromanpsmt"/>
          <w:b/>
          <w:sz w:val="40"/>
          <w:szCs w:val="28"/>
        </w:rPr>
      </w:r>
      <w:r>
        <w:rPr>
          <w:rFonts w:ascii="Times New Roman" w:hAnsi="Times New Roman" w:eastAsia="timesnewromanpsmt"/>
          <w:b/>
          <w:sz w:val="40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40"/>
          <w:szCs w:val="40"/>
        </w:rPr>
      </w:pPr>
      <w:r>
        <w:rPr>
          <w:rFonts w:ascii="Times New Roman" w:hAnsi="Times New Roman" w:eastAsia="timesnewromanpsmt"/>
          <w:b/>
          <w:sz w:val="40"/>
          <w:szCs w:val="40"/>
          <w:lang w:eastAsia="ru-RU"/>
        </w:rPr>
        <w:t xml:space="preserve">ПРОГРАМА </w:t>
      </w:r>
      <w:r>
        <w:rPr>
          <w:rFonts w:ascii="Times New Roman" w:hAnsi="Times New Roman" w:eastAsia="timesnewromanpsmt"/>
          <w:b/>
          <w:sz w:val="40"/>
          <w:szCs w:val="40"/>
        </w:rPr>
        <w:t xml:space="preserve">РОЗВИТКУ ВОДНОГО ГОСПОДАРСТВА ТА ЕКОЛОГІЧНОГО ОЗДОРОВЛЕННЯ МАЛИХ РІЧОК ТА ВОДОЙМ НА ТЕРИТОРІЇ МЕНСЬКОЇ МІСЬКОЇ ТЕРИТОРІАЛЬНОЇ ГРОМАДИ</w:t>
      </w:r>
      <w:r>
        <w:rPr>
          <w:rFonts w:ascii="Times New Roman" w:hAnsi="Times New Roman" w:eastAsia="timesnewromanpsmt"/>
          <w:b/>
          <w:sz w:val="40"/>
          <w:szCs w:val="40"/>
        </w:rPr>
      </w:r>
      <w:r>
        <w:rPr>
          <w:rFonts w:ascii="Times New Roman" w:hAnsi="Times New Roman" w:eastAsia="timesnewromanpsmt"/>
          <w:b/>
          <w:sz w:val="40"/>
          <w:szCs w:val="40"/>
        </w:rPr>
      </w:r>
    </w:p>
    <w:p>
      <w:pPr>
        <w:pBdr/>
        <w:spacing/>
        <w:ind/>
        <w:jc w:val="center"/>
        <w:rPr>
          <w:rFonts w:ascii="Times New Roman" w:hAnsi="Times New Roman" w:eastAsia="timesnewromanpsmt"/>
          <w:b/>
          <w:sz w:val="40"/>
          <w:szCs w:val="40"/>
          <w:lang w:eastAsia="ru-RU"/>
        </w:rPr>
      </w:pPr>
      <w:r>
        <w:rPr>
          <w:rFonts w:ascii="Times New Roman" w:hAnsi="Times New Roman" w:eastAsia="timesnewromanpsmt"/>
          <w:b/>
          <w:sz w:val="40"/>
          <w:szCs w:val="40"/>
        </w:rPr>
        <w:t xml:space="preserve"> НА 2025-2027</w:t>
      </w:r>
      <w:r>
        <w:rPr>
          <w:rFonts w:ascii="Times New Roman" w:hAnsi="Times New Roman" w:eastAsia="timesnewromanpsmt"/>
          <w:b/>
          <w:sz w:val="40"/>
          <w:szCs w:val="40"/>
        </w:rPr>
        <w:t xml:space="preserve"> РОКИ</w:t>
      </w:r>
      <w:r>
        <w:rPr>
          <w:rFonts w:ascii="Times New Roman" w:hAnsi="Times New Roman" w:eastAsia="timesnewromanpsmt"/>
          <w:b/>
          <w:sz w:val="40"/>
          <w:szCs w:val="40"/>
          <w:lang w:eastAsia="ru-RU"/>
        </w:rPr>
      </w:r>
      <w:r>
        <w:rPr>
          <w:rFonts w:ascii="Times New Roman" w:hAnsi="Times New Roman" w:eastAsia="timesnewromanpsmt"/>
          <w:b/>
          <w:sz w:val="40"/>
          <w:szCs w:val="40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bCs/>
          <w:sz w:val="40"/>
          <w:szCs w:val="40"/>
          <w:lang w:eastAsia="ru-RU"/>
        </w:rPr>
      </w:r>
      <w:r>
        <w:rPr>
          <w:rFonts w:ascii="Times New Roman" w:hAnsi="Times New Roman" w:eastAsia="Times New Roman"/>
          <w:b/>
          <w:bCs/>
          <w:sz w:val="40"/>
          <w:szCs w:val="40"/>
          <w:lang w:eastAsia="ru-RU"/>
        </w:rPr>
      </w:r>
      <w:r>
        <w:rPr>
          <w:rFonts w:ascii="Times New Roman" w:hAnsi="Times New Roman" w:eastAsia="Times New Roman"/>
          <w:b/>
          <w:bCs/>
          <w:sz w:val="40"/>
          <w:szCs w:val="40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3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3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3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3"/>
        </w:rPr>
      </w:pPr>
      <w:r>
        <w:rPr>
          <w:rFonts w:ascii="Times New Roman" w:hAnsi="Times New Roman" w:eastAsia="Times New Roman"/>
          <w:b/>
          <w:bCs/>
          <w:sz w:val="28"/>
          <w:szCs w:val="23"/>
          <w:lang w:eastAsia="ru-RU"/>
        </w:rPr>
        <w:t xml:space="preserve">М</w:t>
      </w:r>
      <w:r>
        <w:rPr>
          <w:rFonts w:ascii="Times New Roman" w:hAnsi="Times New Roman" w:eastAsia="Times New Roman"/>
          <w:b/>
          <w:bCs/>
          <w:sz w:val="28"/>
          <w:szCs w:val="23"/>
          <w:lang w:eastAsia="ru-RU"/>
        </w:rPr>
        <w:t xml:space="preserve">ена</w:t>
      </w:r>
      <w:r>
        <w:rPr>
          <w:rFonts w:ascii="Times New Roman" w:hAnsi="Times New Roman" w:eastAsia="Times New Roman"/>
          <w:b/>
          <w:bCs/>
          <w:sz w:val="28"/>
          <w:szCs w:val="23"/>
          <w:lang w:eastAsia="ru-RU"/>
        </w:rPr>
        <w:t xml:space="preserve"> – 2024</w:t>
      </w:r>
      <w:r>
        <w:rPr>
          <w:rFonts w:ascii="Times New Roman" w:hAnsi="Times New Roman" w:eastAsia="Times New Roman"/>
          <w:b/>
          <w:bCs/>
          <w:sz w:val="28"/>
          <w:szCs w:val="23"/>
        </w:rPr>
      </w:r>
      <w:r>
        <w:rPr>
          <w:rFonts w:ascii="Times New Roman" w:hAnsi="Times New Roman" w:eastAsia="Times New Roman"/>
          <w:b/>
          <w:bCs/>
          <w:sz w:val="28"/>
          <w:szCs w:val="23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3"/>
          <w:szCs w:val="23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І. ПАСПОРТ ПРОГРАМИ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499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7"/>
        <w:gridCol w:w="3029"/>
        <w:gridCol w:w="6237"/>
      </w:tblGrid>
      <w:tr>
        <w:trPr>
          <w:trHeight w:val="679"/>
        </w:trPr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0" w:name="22"/>
            <w:r/>
            <w:bookmarkEnd w:id="0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" w:name="23"/>
            <w:r/>
            <w:bookmarkEnd w:id="1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Назва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2" w:name="24"/>
            <w:r/>
            <w:bookmarkStart w:id="3" w:name="21"/>
            <w:r/>
            <w:bookmarkEnd w:id="2"/>
            <w:r/>
            <w:bookmarkEnd w:id="3"/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Програма розвитку водного господарства та екологічного оздоровлення малих річок на території Менської місько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ї територіальної громади на 2025-2027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 роки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далі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 – 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Програма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>
          <w:trHeight w:val="679"/>
        </w:trPr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Підстава для розроблення</w:t>
            </w: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Водний кодекс України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, Земельний кодекс України, Закон України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«Про охорону навколишнього природного середовища»,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Закону України «Про місцеве самоврядування в Україні», </w:t>
            </w:r>
            <w:bookmarkStart w:id="4" w:name="_GoBack"/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Директива 2000/60/ЕС Європейського Парламенту та Ради від 23.10.2000 року</w:t>
            </w:r>
            <w:bookmarkEnd w:id="4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>
          <w:trHeight w:val="679"/>
        </w:trPr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Відділ земельних відносин, агропромислового комплексу та екології Менської міської ради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5" w:name="25"/>
            <w:r/>
            <w:bookmarkStart w:id="6" w:name="28"/>
            <w:r/>
            <w:bookmarkEnd w:id="5"/>
            <w:r/>
            <w:bookmarkEnd w:id="6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7" w:name="29"/>
            <w:r/>
            <w:bookmarkEnd w:id="7"/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Розробник Програми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8" w:name="30"/>
            <w:r/>
            <w:bookmarkEnd w:id="8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Відділ земельних відносин, агропромислового комплексу та екології Менської міської ради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Співрозробники</w:t>
            </w: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 Програми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Відділ земельних відносин, агропромислового комплексу та екології Менської міської ради  та Фінансове управління Менської міської ради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9" w:name="31"/>
            <w:r/>
            <w:bookmarkEnd w:id="9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0" w:name="32"/>
            <w:r/>
            <w:bookmarkEnd w:id="10"/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Відповідальний виконавець Програми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  <w:lang w:eastAsia="ru-RU"/>
              </w:rPr>
              <w:t xml:space="preserve">Менська міська рада</w:t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1" w:name="34"/>
            <w:r/>
            <w:bookmarkEnd w:id="11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2" w:name="35"/>
            <w:r/>
            <w:bookmarkEnd w:id="12"/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Учасники Програми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Корюківська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районна державна адміністрація, Деснянське басейнове управління водних ресурсів України в Чернігівській області, Менська міська рада, громадські організації, засоби масової інформації</w:t>
            </w:r>
            <w:r>
              <w:rPr>
                <w:rFonts w:ascii="Times New Roman" w:hAnsi="Times New Roman" w:eastAsia="Times New Roman"/>
                <w:color w:val="ff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26"/>
                <w:szCs w:val="26"/>
                <w:lang w:eastAsia="ru-RU"/>
              </w:rPr>
            </w:r>
          </w:p>
        </w:tc>
      </w:tr>
      <w:tr>
        <w:trPr>
          <w:trHeight w:val="409"/>
        </w:trPr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3" w:name="37"/>
            <w:r/>
            <w:bookmarkEnd w:id="13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4" w:name="38"/>
            <w:r/>
            <w:bookmarkEnd w:id="14"/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Термін реалізації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2025 - 2027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роки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/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5" w:name="40"/>
            <w:r/>
            <w:bookmarkEnd w:id="15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6" w:name="41"/>
            <w:r/>
            <w:bookmarkEnd w:id="16"/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Перелік місцевих бюджетів, які беруть участь у виконанні Програми (для комплексних Програм)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Державний бюджет України</w:t>
            </w:r>
            <w:r>
              <w:rPr>
                <w:rFonts w:ascii="Times New Roman" w:hAnsi="Times New Roman" w:eastAsia="Times New Roman"/>
                <w:i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Бюджет Менської міської територіальної громади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  <w:t xml:space="preserve">фінансування по програмі з місцевого бюджету здійснюється в межах видатків, затверджених на відповідний рік за відповідним напрямком, виходячи з фінансових можливостей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та інші джерела фінансування не заборонені законодавством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</w:tr>
      <w:tr>
        <w:trPr>
          <w:trHeight w:val="1551"/>
        </w:trPr>
        <w:tc>
          <w:tcPr>
            <w:tcBorders/>
            <w:tcW w:w="3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 w:after="129" w:before="129"/>
              <w:ind/>
              <w:jc w:val="center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7" w:name="43"/>
            <w:r/>
            <w:bookmarkStart w:id="18" w:name="46"/>
            <w:r/>
            <w:bookmarkEnd w:id="17"/>
            <w:r/>
            <w:bookmarkEnd w:id="18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2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/>
            <w:bookmarkStart w:id="19" w:name="47"/>
            <w:r/>
            <w:bookmarkEnd w:id="19"/>
            <w:r>
              <w:rPr>
                <w:rFonts w:ascii="Times New Roman" w:hAnsi="Times New Roman" w:eastAsia="Times New Roman"/>
                <w:bCs/>
                <w:iCs/>
                <w:sz w:val="26"/>
                <w:szCs w:val="26"/>
                <w:lang w:eastAsia="ru-RU"/>
              </w:rPr>
              <w:t xml:space="preserve">Загальний обсяг фінансових ресурсів, необхідних для реалізації Програми, всього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</w:p>
        </w:tc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highlight w:val="none"/>
                <w:lang w:val="ru-RU" w:eastAsia="ru-RU"/>
              </w:rPr>
            </w:pPr>
            <w:r/>
            <w:bookmarkStart w:id="20" w:name="467"/>
            <w:r/>
            <w:bookmarkEnd w:id="20"/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2025 рік - 2 000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000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грн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val="ru-RU"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val="ru-RU"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2026 рік - 1 650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000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грн</w:t>
            </w:r>
            <w:r>
              <w:rPr>
                <w:rFonts w:ascii="Times New Roman" w:hAnsi="Times New Roman" w:eastAsia="Times New Roman"/>
                <w:lang w:val="ru-RU" w:eastAsia="ru-RU"/>
              </w:rPr>
            </w:r>
            <w:r>
              <w:rPr>
                <w:rFonts w:ascii="Times New Roman" w:hAnsi="Times New Roman" w:eastAsia="Times New Roman"/>
                <w:lang w:val="ru-RU"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2027 рік - 1 450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000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  <w:t xml:space="preserve">грн</w:t>
            </w:r>
            <w:r>
              <w:rPr>
                <w:rFonts w:ascii="Times New Roman" w:hAnsi="Times New Roman" w:eastAsia="Times New Roman"/>
                <w:lang w:val="ru-RU" w:eastAsia="ru-RU"/>
              </w:rPr>
            </w:r>
            <w:r>
              <w:rPr>
                <w:rFonts w:ascii="Times New Roman" w:hAnsi="Times New Roman" w:eastAsia="Times New Roman"/>
                <w:lang w:val="ru-RU" w:eastAsia="ru-RU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val="ru-RU"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val="ru-RU" w:eastAsia="ru-RU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aps/>
          <w:sz w:val="28"/>
          <w:szCs w:val="28"/>
          <w:lang w:eastAsia="ru-RU"/>
        </w:rPr>
        <w:t xml:space="preserve">І.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Загальні положення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Програма розвитку водного господарства та екологічного оздоровлення малих річок на території Менської місько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ї територіальної громади на 2025-2027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роки (далі – Програма) розроблена у відповідності до Водного кодексу України, 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Земельний кодекс України, Закон України «</w:t>
      </w:r>
      <w:r>
        <w:rPr>
          <w:rFonts w:ascii="Times New Roman" w:hAnsi="Times New Roman"/>
          <w:sz w:val="28"/>
          <w:szCs w:val="28"/>
        </w:rPr>
        <w:t xml:space="preserve">«Про охорону навколишнього природного середовища»,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Закону України «Про місцеве самоврядування в Україні», Директива 2000/60/ЕС Європейського Парламенту та Ради від 23.10.2000 року.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Необхідність розробки Програми викликана несприятливою ситуацією у гідрологічному режимі, санітарному стані та ландшафтні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й структурі басейнів малих річок та руслових ставків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. Малі ріки є дуже чутливими до антропогенного впливу.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Програма спрямована на розв’язання проблеми відновлення водних екосистем малих річок.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720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ІІ.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Аналіз причин виникнення проблеми та обґрунтування необхідності її розв’язання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 території Менської міської територіальної громади налічується 15 малих річок: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43 км; річка Рівчак довжиною 11,9 км (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 території Покровсько-Слобідського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),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Дягова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Дягівського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Волосківського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старостинських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 довжиною 23 км;річка Сперш довжиною 8,46 км.(починається біля населених пунктів Нові Броди, Садове,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Данилівка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);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Берествиця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11,0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Покровсько-Слобідського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); річка Стара Десна довжиною 18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Ліськівського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округу);</w:t>
      </w:r>
      <w:r>
        <w:rPr>
          <w:rFonts w:ascii="Times New Roman" w:hAnsi="Times New Roman" w:eastAsia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Пулка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15,9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Блистівського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округу); річка Веприк довжиною 7,5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Блистівського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округу);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Десенка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4,3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Ліськівського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Блистівського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старостинських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округів),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Кривуша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6,6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Ліськівського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округу); 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Блистовенька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6,06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Блистівського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округу);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Титовка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5,06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Макошинського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округу), річка Лож довжиною 2,12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Макошинського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Лісківського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старостинських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округів); річка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Бехова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довжиною 5,11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Макошинського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округу); річка Картань довжиною 8,9 км (на території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Макошинського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старостинського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округу)  В тому числі одне водосховище площею 149,5 га в селі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Феськівка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34 заплавних озер та 16 русловий ставок, 7 ставків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копанів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та три технологічні водойми. Крім того, по території Менської міської територіальної громади протікають такі річки, затоки, канали, які маючи незначну площу не ввійшли до інвентаризаційної інформації</w:t>
      </w:r>
      <w:r>
        <w:rPr>
          <w:rFonts w:ascii="Times New Roman" w:hAnsi="Times New Roman" w:eastAsia="Times New Roman"/>
          <w:bCs/>
          <w:color w:val="ff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Аналіз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стану малих річок та їх басейнів свідчить, що більшість з них замулені, виснажені, на значній довжині зарослі чагарниково-болотною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рослинністю. Проведені дослідження якості води в малих річках України за шістьма позиціями виявили кричущу ситуацію. Немає жодної річки України в якій би текла «дуже чиста» або «чиста» вода.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Проблема посилюється стократно від того, що малі річки впадають у великі водні артерії. А три четверті водопостачання в Україні здійснюється з поверхневих водних джерел. Тому, необхідним є прийняття негайних радикальних заходів на відродження малих річок.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Гідрографічна мережа Менської міської територіальної громади належить до </w:t>
      </w:r>
      <w:r>
        <w:rPr>
          <w:rFonts w:ascii="Times New Roman" w:hAnsi="Times New Roman" w:eastAsia="Times New Roman"/>
          <w:sz w:val="28"/>
          <w:szCs w:val="28"/>
        </w:rPr>
        <w:t xml:space="preserve">басейну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Десна.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Малі річки формують більшу частину гідрологічної мережі Менської міської територіальної громади, проте мають найнижчу, порівняного з більшими водотоками, здатність до самоочищення, та буферну ємність екосистем.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Територія басейну річки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Десна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межах Менської міської територіальної громади є територією, яка зазнає навантаження на водні об'єкти у процесі внаслідок інтенсивного ведення сільського господарства, що зазнає значного антропогенного впливу.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Недостатня узгодженість першочергових і довгострокових планових завдань, </w:t>
      </w:r>
      <w:bookmarkStart w:id="21" w:name="20"/>
      <w:r>
        <w:rPr>
          <w:rFonts w:ascii="Times New Roman" w:hAnsi="Times New Roman" w:eastAsia="Times New Roman"/>
          <w:sz w:val="28"/>
          <w:szCs w:val="28"/>
          <w:lang w:eastAsia="ru-RU"/>
        </w:rPr>
      </w:r>
      <w:bookmarkEnd w:id="2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відсу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тніс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ть інтегрованого басейнового підходу до розв'язання екологічних проблем та чіткої координації природоохоронних заходів, недостатнє фінансування безпосередньо природоохоронних заходів призводить до порушення природних умов функціонування річкових екосистем.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ІІІ. Мета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Перетворення басейнів 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алих річок у стабільні ландшафти з дотриманням екологічн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их нормативів, як це передбачено Водним кодексом України та Водною Рамковою Директивою Європейського Союзу, з «добрим» станом поверхневих вод, відновлення їх рекреаційної та туристичної привабливості.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Ця Програма спрямована на 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алізацію державної політики щодо поліпшення екологічного стану малих річок і їх водозбірних басейнів, як однієї із головних складових забезпечення якісною водою населення і галузей економіки та розв’язання місцевих водогосподарських і екологічних проблем.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Розв’язання проблем екологічного оздоровлення та відродження малих річок району та їх водозбірних басейнів можливе за умов поєднання державних та місцевих ресурсів та ініціатив.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основу реалізації Програми покладено принцип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об’єднання зусиль державних органів виконавчої влади, органів місцевого самоврядування та недержавних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організацій для розв’язання проблем пов’язаних з незадовільним санітарно-екологічним і гідрологічним станом малих річок району та їх водозбірних басейнів.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ІV. Етапи виконання заходів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Головними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завданнями є: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розчи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щення русел річок і покращення їх гідрологічного та санітарного стану;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розчищення та благоустрій водойм і покращення загальної гідрологічної ситуації в водозбірних басейнах малих річок;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упорядкування прибережних захисних смуг та створення захисних насаджень вздовж річок;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відновлення сприятливого гідрологічного та санітарного стану річок шляхом відродження їх витоків та природних джерел;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реалізація перспективних заходів щодо розчищення русел річок і покращення їх гідрологічного та санітарного стану;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паспортизація водних об’єктів;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- виконання робіт по догляду за річками.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Впродовж реалізації Програми передбачається здійснювати інформування громадськості, водокористувачів, місцевих органів влади щодо виконання заход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ів Програми.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V. Комплекс заходів за основними напрямками дій щодо екологічного оздоровлення всіх малих річок та р. Десна та р.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, які знаходяться на території Менської міської територіальної громади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Для до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сягнення основної мети Програми передбачається розробити і реалізувати проекти та заходи за такими пріоритетними напрямами: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numPr>
          <w:ilvl w:val="0"/>
          <w:numId w:val="2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Екологічне покращення, розчищення, регулювання русла та поліпшення санітарного стану річки.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Реалізація заходів даного напрямку передбачає відновлення та підтримання сприятливого гідрологічного режиму річки Десна та її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притоків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зокрема: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розчищення від сміття прибережних смуг;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розчищення русла річки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 та її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притоків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Упорядкування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прибережних захисних смуг.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Реалізація заходів даного напрямку передбачає забезпечення виконання робіт з метою створення сприятливого режиму річки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та її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притоків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попередження її забруднення, засмічення і вичерпання, знищення навколо водних рослин і тварин, а також зменшення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коливань стоку, створення водоохоронних зон та прибережних захисних смуг річки відповідно до ст.10, 87 Водного кодексу України, «Порядку користування землями водного фонду» затвердженого Постановою Кабінету Міністрів України від 13.05.1996р. № 502, а саме: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забезпечення виконання робіт, пов'язаних із облаштуванням та упорядкуванням прибережних захисних смуг;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відновлення рослинного покрову на берегах річки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та її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притоків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підтримання встановленого режиму на територіях водоохоронних зон та прибережних захисних смуг.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numPr>
          <w:ilvl w:val="0"/>
          <w:numId w:val="2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Формування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інформаційного простору щодо питань інтегрованого управління водними ресурсами та збереження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біорізноманіття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та екологічної свідомості населення.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Реалізація даного заходу передбачає: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проведення заходів щодо екологічної освіти населення;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забезпечення регулярного інформування засобами масової інформації населення про екологічну ситуацію, факти порушення природоохоронного законодавства та плани будівництва об’єктів, що можуть мати негативний вплив на стан річки;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виготовлення агітаційної поліграфічної продукції екологічного спрямування;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сприяння впровадженню безперервної екологічної освіти в усіх навчальних закладах;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покращення взаємодії природоохоронних і водогосподарських установ зі ЗМІ, екологічної свідомості населення;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залучення учнівської та студентської молоді до природоохоронної діяльності;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проведення лекторіїв і конкурсів на екологічну тематику;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забезпе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чення регулярного проведення конкурсів дитячих малюнків і творів тощо.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VІ. Механізми забезпечення виконання Програми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1. Нормативн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о-правове забезпечення Програми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Для забезпечення реаліз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ації Програми приймаються відповідні рішення Менською міською радою з питань схвалення Програми на місцевому рівні; забезпечення щорічних видатків місцевих бюджетів на виконання заходів програми; координації та контролю за виконанням заходів програми тощо.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2. Фінансове забезпечення Програми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Фінансування Програми здійснюватиметься за рахунок коштів Державного бюджету України, </w:t>
      </w:r>
      <w:r>
        <w:rPr>
          <w:rFonts w:ascii="Times New Roman" w:hAnsi="Times New Roman" w:eastAsia="Times New Roman"/>
          <w:color w:val="000000" w:themeColor="text1"/>
          <w:sz w:val="28"/>
          <w:highlight w:val="white"/>
        </w:rPr>
        <w:t xml:space="preserve">місцевого бюджету в межах видатків, затверджених на відповідний рік за відповідним напрямком, виходячи з фінансових можливостей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  <w:t xml:space="preserve">, а також із залученням інших джерел фінансування (орендарів водних об’є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ктів, водокористувачів,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громадських організацій,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ґрантів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ґрантових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програм;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благодійних внесків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інші кошти, незаборонені чинним законодавством).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Основні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заходи передбачені Програмою та обсяги фінансування наведені в додатку (додаток додається).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Bdr/>
        <w:spacing/>
        <w:ind w:firstLine="72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VІІ. Очікувані результати виконання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Реалі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зація Програми забезпечить вирішення найбільш гострих питань щодо розвитку водного господарства та екологічного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оздоровлення всіх малих річок,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 тому числі р.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 водойм, руслових ставків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на території Менської міської територіальної громади.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Виконання Програми передбачає реалізацію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заходів щодо розчищення та упорядкування русел річок, облаштування та упорядкування прибережних захисних смуг, догляду за річками і джерелами, здійснення паспортизації водойм, ств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орення водоохоронних зон та прибережних захисних смуг річок.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Начальник відділу земельних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відносин, агропромислового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комплексу та екології Менської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міської ради                             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Оксана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СКИРТА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false"/>
        <w:pBdr/>
        <w:tabs>
          <w:tab w:val="left" w:leader="none" w:pos="2127"/>
        </w:tabs>
        <w:spacing/>
        <w:ind w:left="5670"/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701" w:header="346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</w: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</w: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</w:r>
    </w:p>
    <w:p>
      <w:pPr>
        <w:widowControl w:val="false"/>
        <w:pBdr/>
        <w:tabs>
          <w:tab w:val="left" w:leader="none" w:pos="2127"/>
        </w:tabs>
        <w:spacing/>
        <w:ind w:left="10206"/>
        <w:jc w:val="both"/>
        <w:rPr>
          <w:bCs/>
          <w:sz w:val="24"/>
          <w:szCs w:val="24"/>
        </w:rPr>
      </w:pP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  <w:t xml:space="preserve">Додаток</w:t>
      </w:r>
      <w: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widowControl w:val="false"/>
        <w:pBdr/>
        <w:tabs>
          <w:tab w:val="left" w:leader="none" w:pos="2127"/>
        </w:tabs>
        <w:spacing/>
        <w:ind w:left="10206"/>
        <w:jc w:val="both"/>
        <w:rPr>
          <w:rFonts w:ascii="Times New Roman" w:hAnsi="Times New Roman" w:eastAsia="Lucida Sans Unicode"/>
          <w:sz w:val="24"/>
          <w:szCs w:val="24"/>
          <w:lang w:eastAsia="hi-IN" w:bidi="hi-IN"/>
        </w:rPr>
      </w:pPr>
      <w:r>
        <w:rPr>
          <w:rFonts w:ascii="Times New Roman" w:hAnsi="Times New Roman" w:eastAsia="Times New Roman"/>
          <w:sz w:val="24"/>
        </w:rPr>
        <w:t xml:space="preserve">до</w:t>
      </w:r>
      <w:r>
        <w:t xml:space="preserve"> </w:t>
      </w: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  <w:t xml:space="preserve">Програми розвитку водного господарства та екологічного оздоровлення малих річок та водойм на території Менської місько</w:t>
      </w: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  <w:t xml:space="preserve">ї територіальної громади на 2025-2027</w:t>
      </w:r>
      <w:r>
        <w:rPr>
          <w:rFonts w:ascii="Times New Roman" w:hAnsi="Times New Roman" w:eastAsia="Lucida Sans Unicode"/>
          <w:bCs/>
          <w:sz w:val="24"/>
          <w:szCs w:val="24"/>
          <w:lang w:eastAsia="hi-IN" w:bidi="hi-IN"/>
        </w:rPr>
        <w:t xml:space="preserve"> роки</w:t>
      </w:r>
      <w:r>
        <w:rPr>
          <w:rFonts w:ascii="Times New Roman" w:hAnsi="Times New Roman" w:eastAsia="Lucida Sans Unicode"/>
          <w:sz w:val="24"/>
          <w:szCs w:val="24"/>
          <w:lang w:eastAsia="hi-IN" w:bidi="hi-IN"/>
        </w:rPr>
      </w:r>
      <w:r>
        <w:rPr>
          <w:rFonts w:ascii="Times New Roman" w:hAnsi="Times New Roman" w:eastAsia="Lucida Sans Unicode"/>
          <w:sz w:val="24"/>
          <w:szCs w:val="24"/>
          <w:lang w:eastAsia="hi-IN" w:bidi="hi-IN"/>
        </w:rPr>
      </w:r>
    </w:p>
    <w:p>
      <w:pPr>
        <w:widowControl w:val="false"/>
        <w:pBdr/>
        <w:tabs>
          <w:tab w:val="left" w:leader="none" w:pos="2127"/>
        </w:tabs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widowControl w:val="false"/>
        <w:pBdr/>
        <w:tabs>
          <w:tab w:val="left" w:leader="none" w:pos="2127"/>
        </w:tabs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Заходи та обсяги фінансування передбачені Програмою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widowControl w:val="false"/>
        <w:pBdr/>
        <w:tabs>
          <w:tab w:val="left" w:leader="none" w:pos="2127"/>
        </w:tabs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розвитку водного господарства та екологічного оздоровлення малих річок та водойм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widowControl w:val="false"/>
        <w:pBdr/>
        <w:tabs>
          <w:tab w:val="left" w:leader="none" w:pos="2127"/>
        </w:tabs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на території Менської місько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ї територіальної громади на 2025-2027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роки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widowControl w:val="false"/>
        <w:pBdr/>
        <w:tabs>
          <w:tab w:val="left" w:leader="none" w:pos="2127"/>
        </w:tabs>
        <w:spacing/>
        <w:ind/>
        <w:jc w:val="center"/>
        <w:rPr>
          <w:rFonts w:ascii="Times New Roman" w:hAnsi="Times New Roman" w:eastAsia="Times New Roman"/>
          <w:b/>
          <w:bCs/>
          <w:sz w:val="18"/>
          <w:szCs w:val="18"/>
        </w:rPr>
      </w:pPr>
      <w:r>
        <w:rPr>
          <w:rFonts w:ascii="Times New Roman" w:hAnsi="Times New Roman" w:eastAsia="Times New Roman"/>
          <w:b/>
          <w:bCs/>
          <w:sz w:val="18"/>
          <w:szCs w:val="18"/>
        </w:rPr>
      </w:r>
      <w:r>
        <w:rPr>
          <w:rFonts w:ascii="Times New Roman" w:hAnsi="Times New Roman" w:eastAsia="Times New Roman"/>
          <w:b/>
          <w:bCs/>
          <w:sz w:val="18"/>
          <w:szCs w:val="18"/>
        </w:rPr>
      </w:r>
      <w:r>
        <w:rPr>
          <w:rFonts w:ascii="Times New Roman" w:hAnsi="Times New Roman" w:eastAsia="Times New Roman"/>
          <w:b/>
          <w:bCs/>
          <w:sz w:val="18"/>
          <w:szCs w:val="18"/>
        </w:rPr>
      </w:r>
    </w:p>
    <w:tbl>
      <w:tblPr>
        <w:tblW w:w="15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276"/>
        <w:gridCol w:w="1275"/>
        <w:gridCol w:w="1133"/>
        <w:gridCol w:w="4394"/>
      </w:tblGrid>
      <w:tr>
        <w:trPr>
          <w:tblHeader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п/н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Заходи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2025 р., тис.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грн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2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2026 р., тис.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грн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133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2027 р., тис.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грн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Опис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Розчищення русел річок, покращення їх гідрологічного, санітарного, екологічного стану. Проведення робіт з штучного відтворення (зариблення) водних біоресурсів відповідно до  розроблених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науково-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 біологічних обґрунтувань по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обсягам вселення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440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280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</w:tr>
      <w:tr>
        <w:trPr>
          <w:trHeight w:val="1131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Розчищення та благоустрій водойм (видалення дерев, прибирання сміття, укріплення берегів, покращення їх санітарного стану)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120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160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</w:p>
        </w:tc>
      </w:tr>
      <w:tr>
        <w:trPr>
          <w:trHeight w:val="1114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Покращення загальної гідрологічної ситуації в водозбірних басейнах малих річок (ремонт гідротехнічних споруд, дамб, та шляхів вдовж берегів)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200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</w:p>
        </w:tc>
      </w:tr>
      <w:tr>
        <w:trPr>
          <w:trHeight w:val="1139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Упорядкування прибережних захисних смуг та створення захисних насаджень вздовж річок.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140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Відновлення сприятливого гідрологічного та санітарного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стану річок шляхом відродження їх витоків та природніх джерел, розчищення та облаштування природних джерел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270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175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2"/>
                <w:szCs w:val="24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  <w:r>
              <w:rPr>
                <w:rFonts w:ascii="Times New Roman" w:hAnsi="Times New Roman" w:eastAsia="Times New Roman"/>
                <w:sz w:val="22"/>
                <w:szCs w:val="24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Виконання робіт по догляду за річками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160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125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130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Проведення робіт з паспортизації водних об’єктів (озера, ставки  та інші водні об'єкти)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600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Річки та внутрішні водойми, розташовані на території Менської міської територіальної громади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/>
            <w:tcW w:w="6521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Виготовлення проектно-кошторисної документації  на передбачені види робіт (у разі необхідності)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hi-IN" w:bidi="hi-IN"/>
              </w:rPr>
              <w:t xml:space="preserve">Проектно-технічна документація на передбачені види робіт об’єкти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7196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Всього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5 100 000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грн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276" w:type="dxa"/>
            <w:vAlign w:val="bottom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>
                <w:rFonts w:ascii="Times New Roman" w:hAnsi="Times New Roman" w:eastAsia="Times New Roman"/>
                <w:b/>
                <w:color w:val="000000"/>
                <w:sz w:val="22"/>
                <w:lang w:bidi="ar-SA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2000</w:t>
            </w:r>
            <w:r>
              <w:rPr>
                <w:rFonts w:ascii="Times New Roman" w:hAnsi="Times New Roman" w:eastAsia="Times New Roman"/>
                <w:b/>
                <w:color w:val="000000"/>
                <w:sz w:val="22"/>
                <w:lang w:bidi="ar-SA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2"/>
                <w:lang w:bidi="ar-SA"/>
              </w:rPr>
            </w:r>
          </w:p>
        </w:tc>
        <w:tc>
          <w:tcPr>
            <w:tcBorders/>
            <w:tcW w:w="1275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1650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</w:rPr>
            </w:r>
          </w:p>
        </w:tc>
        <w:tc>
          <w:tcPr>
            <w:tcBorders/>
            <w:tcW w:w="113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1450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</w:rPr>
            </w:r>
          </w:p>
        </w:tc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2127"/>
              </w:tabs>
              <w:spacing/>
              <w:ind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i-IN" w:bidi="hi-IN"/>
              </w:rPr>
              <w:t xml:space="preserve">-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</w:p>
        </w:tc>
      </w:tr>
    </w:tbl>
    <w:p>
      <w:pPr>
        <w:widowControl w:val="false"/>
        <w:pBdr/>
        <w:tabs>
          <w:tab w:val="left" w:leader="none" w:pos="2127"/>
        </w:tabs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Начальник відділу земельних 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відносин, агропромислового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комплексу та екології Менської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Bdr/>
        <w:tabs>
          <w:tab w:val="left" w:leader="none" w:pos="9072"/>
        </w:tabs>
        <w:spacing/>
        <w:ind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міської ради                                                                             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Оксана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СКИРТА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sectPr>
      <w:footnotePr/>
      <w:endnotePr/>
      <w:type w:val="nextPage"/>
      <w:pgSz w:h="11906" w:orient="landscape" w:w="16838"/>
      <w:pgMar w:top="567" w:right="1134" w:bottom="426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imes New Roman">
    <w:panose1 w:val="02020603050405020304"/>
  </w:font>
  <w:font w:name="Calibri">
    <w:panose1 w:val="020F0502020204030204"/>
  </w:font>
  <w:font w:name="timesnewromanpsmt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9323729"/>
      <w:docPartObj>
        <w:docPartGallery w:val="Page Numbers (Top of Page)"/>
        <w:docPartUnique w:val="true"/>
      </w:docPartObj>
      <w:rPr/>
    </w:sdtPr>
    <w:sdtContent>
      <w:p>
        <w:pPr>
          <w:pStyle w:val="941"/>
          <w:pBdr/>
          <w:tabs>
            <w:tab w:val="clear" w:leader="none" w:pos="4677"/>
            <w:tab w:val="clear" w:leader="none" w:pos="9355"/>
          </w:tabs>
          <w:spacing/>
          <w:ind/>
          <w:jc w:val="right"/>
          <w:rPr>
            <w:rFonts w:ascii="Times New Roman" w:hAnsi="Times New Roman" w:eastAsia="Times New Roman"/>
            <w:i/>
            <w:sz w:val="24"/>
          </w:rPr>
        </w:pPr>
        <w:r>
          <w:rPr>
            <w:rFonts w:ascii="Times New Roman" w:hAnsi="Times New Roman" w:eastAsia="Times New Roman"/>
            <w:i/>
            <w:sz w:val="24"/>
          </w:rPr>
          <w:fldChar w:fldCharType="begin"/>
        </w:r>
        <w:r>
          <w:rPr>
            <w:rFonts w:ascii="Times New Roman" w:hAnsi="Times New Roman" w:eastAsia="Times New Roman"/>
            <w:i/>
            <w:sz w:val="24"/>
          </w:rPr>
          <w:instrText xml:space="preserve">PAGE   \* MERGEFORMAT</w:instrText>
        </w:r>
        <w:r>
          <w:rPr>
            <w:rFonts w:ascii="Times New Roman" w:hAnsi="Times New Roman" w:eastAsia="Times New Roman"/>
            <w:i/>
            <w:sz w:val="24"/>
          </w:rPr>
          <w:fldChar w:fldCharType="separate"/>
        </w:r>
        <w:r>
          <w:rPr>
            <w:rFonts w:ascii="Times New Roman" w:hAnsi="Times New Roman" w:eastAsia="Times New Roman"/>
            <w:i/>
            <w:sz w:val="24"/>
            <w:lang w:val="ru-RU"/>
          </w:rPr>
          <w:t xml:space="preserve">2</w:t>
        </w:r>
        <w:r>
          <w:rPr>
            <w:rFonts w:ascii="Times New Roman" w:hAnsi="Times New Roman" w:eastAsia="Times New Roman"/>
            <w:i/>
            <w:sz w:val="24"/>
          </w:rPr>
          <w:fldChar w:fldCharType="end"/>
        </w:r>
        <w:r>
          <w:rPr>
            <w:rFonts w:ascii="Times New Roman" w:hAnsi="Times New Roman" w:eastAsia="Times New Roman"/>
            <w:i/>
            <w:sz w:val="24"/>
          </w:rPr>
          <w:t xml:space="preserve">                                      продовження додатка</w:t>
        </w:r>
        <w:r>
          <w:rPr>
            <w:rFonts w:ascii="Times New Roman" w:hAnsi="Times New Roman" w:eastAsia="Times New Roman"/>
            <w:i/>
            <w:sz w:val="24"/>
          </w:rPr>
        </w:r>
        <w:r>
          <w:rPr>
            <w:rFonts w:ascii="Times New Roman" w:hAnsi="Times New Roman" w:eastAsia="Times New Roman"/>
            <w:i/>
            <w:sz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/>
      <w:ind w:right="0" w:firstLine="5669" w:left="0"/>
      <w:rPr>
        <w:rFonts w:ascii="Times New Roman" w:hAnsi="Times New Roman" w:eastAsia="Times New Roman"/>
        <w:sz w:val="28"/>
        <w:szCs w:val="28"/>
      </w:rPr>
    </w:pPr>
    <w:r>
      <w:rPr>
        <w:rFonts w:ascii="Times New Roman" w:hAnsi="Times New Roman" w:eastAsia="Times New Roman"/>
        <w:sz w:val="28"/>
        <w:szCs w:val="28"/>
      </w:rPr>
      <w:t xml:space="preserve">Д</w:t>
    </w:r>
    <w:r>
      <w:rPr>
        <w:rFonts w:ascii="Times New Roman" w:hAnsi="Times New Roman" w:eastAsia="Times New Roman"/>
        <w:sz w:val="28"/>
        <w:szCs w:val="28"/>
      </w:rPr>
      <w:t xml:space="preserve">одаток </w:t>
    </w:r>
    <w:r>
      <w:rPr>
        <w:rFonts w:ascii="Times New Roman" w:hAnsi="Times New Roman" w:eastAsia="Times New Roman"/>
        <w:sz w:val="28"/>
        <w:szCs w:val="28"/>
      </w:rPr>
    </w:r>
    <w:r>
      <w:rPr>
        <w:rFonts w:ascii="Times New Roman" w:hAnsi="Times New Roman" w:eastAsia="Times New Roman"/>
        <w:sz w:val="28"/>
        <w:szCs w:val="28"/>
      </w:rPr>
    </w:r>
  </w:p>
  <w:p>
    <w:pPr>
      <w:pStyle w:val="941"/>
      <w:pBdr/>
      <w:spacing/>
      <w:ind w:right="0" w:firstLine="0" w:left="5669"/>
      <w:rPr>
        <w:rFonts w:ascii="Times New Roman" w:hAnsi="Times New Roman" w:eastAsia="Times New Roman"/>
        <w:sz w:val="28"/>
        <w:szCs w:val="28"/>
      </w:rPr>
    </w:pPr>
    <w:r>
      <w:rPr>
        <w:rFonts w:ascii="Times New Roman" w:hAnsi="Times New Roman" w:eastAsia="Times New Roman"/>
        <w:sz w:val="28"/>
        <w:szCs w:val="28"/>
      </w:rPr>
      <w:t xml:space="preserve">до рішення 56 сесії </w:t>
    </w:r>
    <w:r>
      <w:rPr>
        <w:rFonts w:ascii="Times New Roman" w:hAnsi="Times New Roman" w:eastAsia="Times New Roman"/>
        <w:sz w:val="28"/>
        <w:szCs w:val="28"/>
      </w:rPr>
      <w:t xml:space="preserve">Менської міської ради</w:t>
    </w:r>
    <w:r>
      <w:rPr>
        <w:rFonts w:ascii="Times New Roman" w:hAnsi="Times New Roman" w:eastAsia="Times New Roman"/>
        <w:sz w:val="28"/>
        <w:szCs w:val="28"/>
      </w:rPr>
      <w:t xml:space="preserve"> 8 скликання </w:t>
    </w:r>
    <w:r>
      <w:rPr>
        <w:rFonts w:ascii="Times New Roman" w:hAnsi="Times New Roman" w:eastAsia="Times New Roman"/>
        <w:sz w:val="28"/>
        <w:szCs w:val="28"/>
      </w:rPr>
      <w:t xml:space="preserve"> </w:t>
    </w:r>
    <w:r>
      <w:rPr>
        <w:rFonts w:ascii="Times New Roman" w:hAnsi="Times New Roman" w:eastAsia="Times New Roman"/>
        <w:sz w:val="28"/>
        <w:szCs w:val="28"/>
      </w:rPr>
    </w:r>
    <w:r>
      <w:rPr>
        <w:rFonts w:ascii="Times New Roman" w:hAnsi="Times New Roman" w:eastAsia="Times New Roman"/>
        <w:sz w:val="28"/>
        <w:szCs w:val="28"/>
      </w:rPr>
    </w:r>
  </w:p>
  <w:p>
    <w:pPr>
      <w:pStyle w:val="941"/>
      <w:pBdr/>
      <w:spacing/>
      <w:ind w:right="0" w:firstLine="5669" w:left="0"/>
      <w:rPr>
        <w:rFonts w:ascii="Times New Roman" w:hAnsi="Times New Roman"/>
        <w:sz w:val="28"/>
        <w:szCs w:val="28"/>
      </w:rPr>
    </w:pPr>
    <w:r>
      <w:rPr>
        <w:rFonts w:ascii="Times New Roman" w:hAnsi="Times New Roman" w:eastAsia="Times New Roman"/>
        <w:sz w:val="28"/>
        <w:szCs w:val="28"/>
      </w:rPr>
      <w:t xml:space="preserve">19 грудня</w:t>
    </w:r>
    <w:r>
      <w:rPr>
        <w:rFonts w:ascii="Times New Roman" w:hAnsi="Times New Roman" w:eastAsia="Times New Roman"/>
        <w:sz w:val="28"/>
        <w:szCs w:val="28"/>
      </w:rPr>
      <w:t xml:space="preserve"> 2024 року № 735</w:t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941"/>
      <w:pBdr/>
      <w:spacing/>
      <w:ind/>
      <w:rPr>
        <w:rFonts w:ascii="Times New Roman" w:hAnsi="Times New Roman" w:eastAsia="Times New Roman"/>
        <w:sz w:val="28"/>
        <w:szCs w:val="28"/>
      </w:rPr>
    </w:pPr>
    <w:r>
      <w:rPr>
        <w:rFonts w:ascii="Times New Roman" w:hAnsi="Times New Roman" w:eastAsia="Times New Roman"/>
        <w:sz w:val="24"/>
      </w:rPr>
    </w:r>
    <w:r>
      <w:rPr>
        <w:rFonts w:ascii="Times New Roman" w:hAnsi="Times New Roman" w:eastAsia="Times New Roman"/>
        <w:sz w:val="24"/>
      </w:rPr>
      <w:tab/>
      <w:t xml:space="preserve">                                                     </w:t>
    </w:r>
    <w:r>
      <w:rPr>
        <w:rFonts w:ascii="Times New Roman" w:hAnsi="Times New Roman" w:eastAsia="Times New Roman"/>
        <w:sz w:val="28"/>
        <w:szCs w:val="28"/>
      </w:rPr>
      <w:t xml:space="preserve">   </w:t>
    </w:r>
    <w:r>
      <w:rPr>
        <w:rFonts w:ascii="Times New Roman" w:hAnsi="Times New Roman" w:eastAsia="Times New Roman"/>
        <w:sz w:val="28"/>
        <w:szCs w:val="28"/>
      </w:rPr>
    </w:r>
    <w:r>
      <w:rPr>
        <w:rFonts w:ascii="Times New Roman" w:hAnsi="Times New Roman" w:eastAsia="Times New Roman"/>
        <w:sz w:val="28"/>
        <w:szCs w:val="28"/>
      </w:rPr>
    </w:r>
  </w:p>
  <w:p>
    <w:pPr>
      <w:pStyle w:val="94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59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2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771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9">
    <w:name w:val="Heading 2 Char"/>
    <w:basedOn w:val="771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0">
    <w:name w:val="Heading 3 Char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1">
    <w:name w:val="Heading 4 Char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2">
    <w:name w:val="Heading 5 Char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3">
    <w:name w:val="Heading 6 Char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4">
    <w:name w:val="Heading 7 Char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5">
    <w:name w:val="Heading 8 Char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6">
    <w:name w:val="Heading 9 Char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7">
    <w:name w:val="Title Char"/>
    <w:basedOn w:val="771"/>
    <w:link w:val="7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8">
    <w:name w:val="Subtitle Char"/>
    <w:basedOn w:val="771"/>
    <w:link w:val="7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9">
    <w:name w:val="Quote Char"/>
    <w:basedOn w:val="771"/>
    <w:link w:val="78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0">
    <w:name w:val="Intense Emphasis"/>
    <w:basedOn w:val="7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Quote Char"/>
    <w:basedOn w:val="771"/>
    <w:link w:val="7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7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otnote Text Char"/>
    <w:basedOn w:val="771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759">
    <w:name w:val="Endnote Text Char"/>
    <w:basedOn w:val="771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760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  <w:sz w:val="20"/>
      <w:lang w:bidi="en-US"/>
    </w:rPr>
  </w:style>
  <w:style w:type="paragraph" w:styleId="762">
    <w:name w:val="Heading 1"/>
    <w:basedOn w:val="761"/>
    <w:next w:val="761"/>
    <w:link w:val="7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3">
    <w:name w:val="Heading 2"/>
    <w:basedOn w:val="761"/>
    <w:next w:val="761"/>
    <w:link w:val="7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4">
    <w:name w:val="Heading 3"/>
    <w:basedOn w:val="761"/>
    <w:next w:val="76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5">
    <w:name w:val="Heading 4"/>
    <w:basedOn w:val="761"/>
    <w:next w:val="761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761"/>
    <w:next w:val="76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761"/>
    <w:next w:val="761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68">
    <w:name w:val="Heading 7"/>
    <w:basedOn w:val="761"/>
    <w:next w:val="76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69">
    <w:name w:val="Heading 8"/>
    <w:basedOn w:val="761"/>
    <w:next w:val="76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0">
    <w:name w:val="Heading 9"/>
    <w:basedOn w:val="761"/>
    <w:next w:val="76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Заголовок 1 Знак"/>
    <w:basedOn w:val="771"/>
    <w:link w:val="7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71"/>
    <w:link w:val="76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61"/>
    <w:uiPriority w:val="34"/>
    <w:qFormat/>
    <w:pPr>
      <w:pBdr/>
      <w:spacing/>
      <w:ind w:left="720"/>
      <w:contextualSpacing w:val="true"/>
    </w:pPr>
  </w:style>
  <w:style w:type="paragraph" w:styleId="784">
    <w:name w:val="No Spacing"/>
    <w:uiPriority w:val="1"/>
    <w:qFormat/>
    <w:pPr>
      <w:pBdr/>
      <w:spacing w:after="0" w:line="240" w:lineRule="auto"/>
      <w:ind/>
    </w:pPr>
  </w:style>
  <w:style w:type="paragraph" w:styleId="785">
    <w:name w:val="Title"/>
    <w:basedOn w:val="761"/>
    <w:next w:val="761"/>
    <w:link w:val="78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 w:customStyle="1">
    <w:name w:val="Название Знак"/>
    <w:basedOn w:val="771"/>
    <w:link w:val="785"/>
    <w:uiPriority w:val="10"/>
    <w:pPr>
      <w:pBdr/>
      <w:spacing/>
      <w:ind/>
    </w:pPr>
    <w:rPr>
      <w:sz w:val="48"/>
      <w:szCs w:val="48"/>
    </w:rPr>
  </w:style>
  <w:style w:type="paragraph" w:styleId="787">
    <w:name w:val="Subtitle"/>
    <w:basedOn w:val="761"/>
    <w:next w:val="761"/>
    <w:link w:val="78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8" w:customStyle="1">
    <w:name w:val="Подзаголовок Знак"/>
    <w:basedOn w:val="771"/>
    <w:link w:val="787"/>
    <w:uiPriority w:val="11"/>
    <w:pPr>
      <w:pBdr/>
      <w:spacing/>
      <w:ind/>
    </w:pPr>
    <w:rPr>
      <w:sz w:val="24"/>
      <w:szCs w:val="24"/>
    </w:rPr>
  </w:style>
  <w:style w:type="paragraph" w:styleId="789">
    <w:name w:val="Quote"/>
    <w:basedOn w:val="761"/>
    <w:next w:val="761"/>
    <w:link w:val="790"/>
    <w:uiPriority w:val="29"/>
    <w:qFormat/>
    <w:pPr>
      <w:pBdr/>
      <w:spacing/>
      <w:ind w:right="720" w:left="720"/>
    </w:pPr>
    <w:rPr>
      <w:i/>
    </w:rPr>
  </w:style>
  <w:style w:type="character" w:styleId="790" w:customStyle="1">
    <w:name w:val="Цитата 2 Знак"/>
    <w:link w:val="789"/>
    <w:uiPriority w:val="29"/>
    <w:pPr>
      <w:pBdr/>
      <w:spacing/>
      <w:ind/>
    </w:pPr>
    <w:rPr>
      <w:i/>
    </w:rPr>
  </w:style>
  <w:style w:type="paragraph" w:styleId="791">
    <w:name w:val="Intense Quote"/>
    <w:basedOn w:val="761"/>
    <w:next w:val="761"/>
    <w:link w:val="7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2" w:customStyle="1">
    <w:name w:val="Выделенная цитата Знак"/>
    <w:link w:val="791"/>
    <w:uiPriority w:val="30"/>
    <w:pPr>
      <w:pBdr/>
      <w:spacing/>
      <w:ind/>
    </w:pPr>
    <w:rPr>
      <w:i/>
    </w:rPr>
  </w:style>
  <w:style w:type="character" w:styleId="793" w:customStyle="1">
    <w:name w:val="Header Char"/>
    <w:basedOn w:val="771"/>
    <w:uiPriority w:val="99"/>
    <w:pPr>
      <w:pBdr/>
      <w:spacing/>
      <w:ind/>
    </w:pPr>
  </w:style>
  <w:style w:type="character" w:styleId="794" w:customStyle="1">
    <w:name w:val="Footer Char"/>
    <w:basedOn w:val="771"/>
    <w:uiPriority w:val="99"/>
    <w:pPr>
      <w:pBdr/>
      <w:spacing/>
      <w:ind/>
    </w:pPr>
  </w:style>
  <w:style w:type="paragraph" w:styleId="795">
    <w:name w:val="Caption"/>
    <w:basedOn w:val="761"/>
    <w:next w:val="76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96" w:customStyle="1">
    <w:name w:val="Caption Char"/>
    <w:uiPriority w:val="99"/>
    <w:pPr>
      <w:pBdr/>
      <w:spacing/>
      <w:ind/>
    </w:pPr>
  </w:style>
  <w:style w:type="table" w:styleId="797">
    <w:name w:val="Table Grid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4">
    <w:name w:val="footnote text"/>
    <w:basedOn w:val="761"/>
    <w:link w:val="925"/>
    <w:uiPriority w:val="99"/>
    <w:semiHidden/>
    <w:unhideWhenUsed/>
    <w:pPr>
      <w:pBdr/>
      <w:spacing w:after="40"/>
      <w:ind/>
    </w:pPr>
    <w:rPr>
      <w:sz w:val="18"/>
    </w:rPr>
  </w:style>
  <w:style w:type="character" w:styleId="925" w:customStyle="1">
    <w:name w:val="Текст сноски Знак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71"/>
    <w:uiPriority w:val="99"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761"/>
    <w:link w:val="928"/>
    <w:uiPriority w:val="99"/>
    <w:semiHidden/>
    <w:unhideWhenUsed/>
    <w:pPr>
      <w:pBdr/>
      <w:spacing/>
      <w:ind/>
    </w:pPr>
  </w:style>
  <w:style w:type="character" w:styleId="928" w:customStyle="1">
    <w:name w:val="Текст концевой сноски Знак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toc 1"/>
    <w:basedOn w:val="761"/>
    <w:next w:val="761"/>
    <w:uiPriority w:val="39"/>
    <w:unhideWhenUsed/>
    <w:pPr>
      <w:pBdr/>
      <w:spacing w:after="57"/>
      <w:ind/>
    </w:pPr>
  </w:style>
  <w:style w:type="paragraph" w:styleId="931">
    <w:name w:val="toc 2"/>
    <w:basedOn w:val="761"/>
    <w:next w:val="761"/>
    <w:uiPriority w:val="39"/>
    <w:unhideWhenUsed/>
    <w:pPr>
      <w:pBdr/>
      <w:spacing w:after="57"/>
      <w:ind w:left="283"/>
    </w:pPr>
  </w:style>
  <w:style w:type="paragraph" w:styleId="932">
    <w:name w:val="toc 3"/>
    <w:basedOn w:val="761"/>
    <w:next w:val="761"/>
    <w:uiPriority w:val="39"/>
    <w:unhideWhenUsed/>
    <w:pPr>
      <w:pBdr/>
      <w:spacing w:after="57"/>
      <w:ind w:left="567"/>
    </w:pPr>
  </w:style>
  <w:style w:type="paragraph" w:styleId="933">
    <w:name w:val="toc 4"/>
    <w:basedOn w:val="761"/>
    <w:next w:val="761"/>
    <w:uiPriority w:val="39"/>
    <w:unhideWhenUsed/>
    <w:pPr>
      <w:pBdr/>
      <w:spacing w:after="57"/>
      <w:ind w:left="850"/>
    </w:pPr>
  </w:style>
  <w:style w:type="paragraph" w:styleId="934">
    <w:name w:val="toc 5"/>
    <w:basedOn w:val="761"/>
    <w:next w:val="761"/>
    <w:uiPriority w:val="39"/>
    <w:unhideWhenUsed/>
    <w:pPr>
      <w:pBdr/>
      <w:spacing w:after="57"/>
      <w:ind w:left="1134"/>
    </w:pPr>
  </w:style>
  <w:style w:type="paragraph" w:styleId="935">
    <w:name w:val="toc 6"/>
    <w:basedOn w:val="761"/>
    <w:next w:val="761"/>
    <w:uiPriority w:val="39"/>
    <w:unhideWhenUsed/>
    <w:pPr>
      <w:pBdr/>
      <w:spacing w:after="57"/>
      <w:ind w:left="1417"/>
    </w:pPr>
  </w:style>
  <w:style w:type="paragraph" w:styleId="936">
    <w:name w:val="toc 7"/>
    <w:basedOn w:val="761"/>
    <w:next w:val="761"/>
    <w:uiPriority w:val="39"/>
    <w:unhideWhenUsed/>
    <w:pPr>
      <w:pBdr/>
      <w:spacing w:after="57"/>
      <w:ind w:left="1701"/>
    </w:pPr>
  </w:style>
  <w:style w:type="paragraph" w:styleId="937">
    <w:name w:val="toc 8"/>
    <w:basedOn w:val="761"/>
    <w:next w:val="761"/>
    <w:uiPriority w:val="39"/>
    <w:unhideWhenUsed/>
    <w:pPr>
      <w:pBdr/>
      <w:spacing w:after="57"/>
      <w:ind w:left="1984"/>
    </w:pPr>
  </w:style>
  <w:style w:type="paragraph" w:styleId="938">
    <w:name w:val="toc 9"/>
    <w:basedOn w:val="761"/>
    <w:next w:val="761"/>
    <w:uiPriority w:val="39"/>
    <w:unhideWhenUsed/>
    <w:pPr>
      <w:pBdr/>
      <w:spacing w:after="57"/>
      <w:ind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761"/>
    <w:next w:val="761"/>
    <w:uiPriority w:val="99"/>
    <w:unhideWhenUsed/>
    <w:pPr>
      <w:pBdr/>
      <w:spacing/>
      <w:ind/>
    </w:pPr>
  </w:style>
  <w:style w:type="paragraph" w:styleId="941">
    <w:name w:val="Header"/>
    <w:basedOn w:val="761"/>
    <w:link w:val="94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2" w:customStyle="1">
    <w:name w:val="Верхний колонтитул Знак"/>
    <w:basedOn w:val="771"/>
    <w:link w:val="941"/>
    <w:uiPriority w:val="99"/>
    <w:pPr>
      <w:pBdr/>
      <w:spacing/>
      <w:ind/>
    </w:pPr>
    <w:rPr>
      <w:rFonts w:ascii="Calibri" w:hAnsi="Calibri" w:eastAsia="Calibri" w:cs="Times New Roman"/>
      <w:sz w:val="20"/>
      <w:lang w:bidi="en-US"/>
    </w:rPr>
  </w:style>
  <w:style w:type="paragraph" w:styleId="943">
    <w:name w:val="Footer"/>
    <w:basedOn w:val="761"/>
    <w:link w:val="944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4" w:customStyle="1">
    <w:name w:val="Нижний колонтитул Знак"/>
    <w:basedOn w:val="771"/>
    <w:link w:val="943"/>
    <w:uiPriority w:val="99"/>
    <w:pPr>
      <w:pBdr/>
      <w:spacing/>
      <w:ind/>
    </w:pPr>
    <w:rPr>
      <w:rFonts w:ascii="Calibri" w:hAnsi="Calibri" w:eastAsia="Calibri" w:cs="Times New Roman"/>
      <w:sz w:val="20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32</cp:revision>
  <dcterms:created xsi:type="dcterms:W3CDTF">2024-09-10T10:09:00Z</dcterms:created>
  <dcterms:modified xsi:type="dcterms:W3CDTF">2024-12-21T16:24:45Z</dcterms:modified>
</cp:coreProperties>
</file>