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812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Додаток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81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 рішення 56 сесії Менської міської ради 8 скликання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81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19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грудня 2024 року № 743 </w:t>
      </w:r>
      <w:r/>
    </w:p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ПРОГРАМА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color w:val="000000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ї територіальної громади на 2025-2027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ЗМІСТ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9648" w:type="dxa"/>
        <w:tblBorders/>
        <w:tblLook w:val="01E0" w:firstRow="1" w:lastRow="1" w:firstColumn="1" w:lastColumn="1" w:noHBand="0" w:noVBand="0"/>
      </w:tblPr>
      <w:tblGrid>
        <w:gridCol w:w="8928"/>
        <w:gridCol w:w="720"/>
      </w:tblGrid>
      <w:tr>
        <w:trPr>
          <w:trHeight w:val="6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tabs>
                <w:tab w:val="left" w:leader="none" w:pos="7367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1. Паспорт Програми виконання заходів з мобілізації, призову на строкову військову службу на території населених пунктів Менської місько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ї територіальної громади на 2025-2027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2. Визначення проблеми, на розв’язання якої спрямована Програма …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3. Мета Програми………………………………………………………….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7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4. Обґрунтування шляхів і засобів розв’язання проблеми, обсягів та джерел фінансування, строки виконання Програми……………………….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7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5. Завдання та результативні показники…………………………………..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6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6. Координація та контроль за виконанням Програми…………………….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747" w:type="dxa"/>
        <w:tblBorders/>
        <w:tblLook w:val="00A0" w:firstRow="1" w:lastRow="0" w:firstColumn="1" w:lastColumn="0" w:noHBand="0" w:noVBand="0"/>
      </w:tblPr>
      <w:tblGrid>
        <w:gridCol w:w="1384"/>
        <w:gridCol w:w="836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4" w:type="dxa"/>
            <w:textDirection w:val="lrTb"/>
            <w:noWrap/>
          </w:tcPr>
          <w:p>
            <w:pPr>
              <w:widowControl w:val="false"/>
              <w:pBdr/>
              <w:tabs>
                <w:tab w:val="left" w:leader="none" w:pos="1843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Додаток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3" w:type="dxa"/>
            <w:textDirection w:val="lrTb"/>
            <w:noWrap/>
          </w:tcPr>
          <w:p>
            <w:pPr>
              <w:widowControl w:val="false"/>
              <w:pBdr/>
              <w:spacing/>
              <w:ind w:left="-10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1. Заходи Програми виконання заходів з мобілізації, призову на строкову військову службу на території населених пунктів Менської місько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ї територіальної громади на 2025-2027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роки                  6-10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4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3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4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Додаток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3" w:type="dxa"/>
            <w:textDirection w:val="lrTb"/>
            <w:noWrap/>
          </w:tcPr>
          <w:p>
            <w:pPr>
              <w:widowControl w:val="false"/>
              <w:pBdr/>
              <w:spacing/>
              <w:ind w:left="-10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2. Ресурсне забезпечення Програми виконання заходів з мобілізації, призову на строкову військову службу на території населених пунктів Менської міської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територіальної громади на 2025-2027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роки                                                   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 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br w:type="page" w:clear="all"/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268"/>
        </w:tabs>
        <w:spacing/>
        <w:ind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</w:r>
      <w:r>
        <w:rPr>
          <w:rFonts w:ascii="Times New Roman" w:hAnsi="Times New Roman"/>
          <w:b/>
          <w:color w:val="000000"/>
          <w:sz w:val="16"/>
          <w:szCs w:val="16"/>
        </w:rPr>
      </w:r>
      <w:r>
        <w:rPr>
          <w:rFonts w:ascii="Times New Roman" w:hAnsi="Times New Roman"/>
          <w:b/>
          <w:color w:val="000000"/>
          <w:sz w:val="16"/>
          <w:szCs w:val="16"/>
        </w:rPr>
      </w:r>
    </w:p>
    <w:p>
      <w:pPr>
        <w:pStyle w:val="979"/>
        <w:numPr>
          <w:ilvl w:val="0"/>
          <w:numId w:val="9"/>
        </w:numPr>
        <w:pBdr/>
        <w:spacing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Паспорт Програми виконання заходів з мобілізації, призову на строкову військову службу на території населених пунктів Менської місько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ї територіальної громади на 2025-2027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638"/>
        <w:gridCol w:w="5671"/>
      </w:tblGrid>
      <w:tr>
        <w:trPr>
          <w:trHeight w:val="486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tabs>
                <w:tab w:val="left" w:leader="none" w:pos="42"/>
              </w:tabs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Ініціатор розроблення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214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Дата, номер і назва розпорядчого документа про розроблення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Закони </w:t>
            </w:r>
            <w:bookmarkStart w:id="0" w:name="_Hlk100572204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України «Про оборону України», «Про правовий режим воєнного стану»,«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основи національного спротиву»</w:t>
            </w:r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9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Розробник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817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Співрозробники 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662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Відповідальні виконавці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888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Учасники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588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Термін реалізації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2025- 2027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010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Перелік місцевих бюджетів, які беруть участь у виконанні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Менської міської територіальної громади та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 інші джерела, не заборонені законодавством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202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 за програмою – 5988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,0 тис. грн.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– 1560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,0 тис. грн.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–  1996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,0 тис. грн.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2027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– 2432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,0 тис. грн.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2. Визначення проблеми, на розв’язання якої спрямована Програма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Програма виконання заходів з мобілізації, призову на військову службу на території населених пунктів громади, що входять до Менської мі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ської ради на 2025 -2027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роки (далі - Програма) розроблена відповідно до Законів України «Про оборону України»,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«Про правовий режим воєнного стану»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«Про мобілізаційну підготовку та мобілізацію», «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ро військовий обов’язок і військову службу», «Положення про військово-транспортний обов’язок», затвердженого постановою Кабінету Міністрів України від 28 грудня 2000 року №1921 (в редакції постанови Кабінету Міністрів України від 17 червня 2015 року №405).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Програма направлення на вирішення проблеми щодо забезпечення потреб ЗСУ, а саме виконання заходів із мобілізації, призову на військов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службу.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3.Мета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Основною метою Програми є успішне та своєчасне виконання поставлених перед Менською міською територіальною громадою завдань щодо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забезпечення потреб Збройних Сил України людськими та справними комплектними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транспортними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ресурсами в умовах правового режиму воєнного стану, удосконалення теоретичної і практичної підготовки особового складу оперативного резерву військових частин Збройних Сил України.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</w:p>
    <w:p>
      <w:pPr>
        <w:pBdr/>
        <w:spacing w:before="170"/>
        <w:ind/>
        <w:jc w:val="center"/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none"/>
          <w:lang w:val="uk-UA"/>
        </w:rPr>
        <w:t xml:space="preserve">4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lang w:val="uk-UA"/>
        </w:rPr>
        <w:t xml:space="preserve">.Завдання та результативні показники виконання Програми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Основним завданням Програми є створенн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я належних умов для успішного та своєчасного виконання заходів мобілізації та призову на військову службу по забезпеченню потреб Збройних сил України у людських ресурсах та справних комплектних транспортних засобах в умовах правового режиму воєнного стану.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  <w:t xml:space="preserve">Заходи на реалізацію завдань визначені Додатком до Програми.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Програми дасть змогу забезпечити успішне та своєчасне виконання завдань щодо забезпечення потреб Збройних сил України людськими та справними транспортними ресурсами, поставлених виконавцям заходів мобілізації в громаді.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before="170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5. Обсяги та джерел фінансування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Фінансування Програми здійснюється за рахунок коштів бюджету Менської міської територіальної громади та інших джерел, не заборонених законодавством та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здійснюється в межах видатків, затверджених на відповідний рік за відповідним напрямком, виходячи з фінансових можливостей.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Style w:val="1046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1046"/>
          <w:rFonts w:ascii="Times New Roman" w:hAnsi="Times New Roman"/>
          <w:color w:val="000000"/>
          <w:sz w:val="28"/>
          <w:szCs w:val="28"/>
          <w:lang w:val="uk-UA"/>
        </w:rPr>
        <w:t xml:space="preserve">Фінансування Програми може здійснюватися шляхом передачі субвенції з місцевого бюджету</w:t>
      </w:r>
      <w:r>
        <w:rPr>
          <w:rStyle w:val="1046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</w:t>
      </w:r>
      <w:r>
        <w:rPr>
          <w:rStyle w:val="1046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r>
      <w:r>
        <w:rPr>
          <w:rStyle w:val="1046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Передача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Першому відділу Корюківського районного територіального центру комплектування та соціальної підтримки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(далі -Отримувач) матеріалів, техніки, обладнанн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я, приладів, товарів, виробів та іншого майна, придбаного за рахунок коштів бюджету Менської міської територіальної громади відповідно до даної Програми здійснюється за актами приймання-передачі майна, які підписуються уповноваженими представниками сторін.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Малоцінні та швидкозношувані предмети використовуються Отримувачем в процесі діяльності. Менській міській раді надаються підтвердні документи про їх використання.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Основні засоби, передані відповідно до Програми, перебувають у тимчасовому безоплатному користуванні Отримувача на період дії воєнного стану та протягом 3 місяців після його завершення або скасування.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Після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завершення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чи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скасування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воєнного стану майно, яке передане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Отримува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чу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відповідно до Програми, в 3-місячний термін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підлягає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поверненню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Менській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міській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раді, або в цей же термін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вирішується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питання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його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подальшого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використання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Отримувач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ем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відповідно до вимог чинного законодавства.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 разі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знищення майна в ході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бойових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дій, дії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непереборної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сили, інших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надзвичайних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ситуацій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Отримувач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подати Менській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міській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раді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відповідний акт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для його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виключення з переліку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об’єктів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комунальної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власності.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Рішення про виключення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вказаного майна з переліку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об’єктів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комунальної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власності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Менської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міської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територіальної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громади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приймається на засіданні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сесії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міської ради.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6.Координація та контроль за виконання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Програми покладається на Менську міську раду та Перший відділ Корюківського районного територіального центру комплектування та соціальної підтримки.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Менська міська рада та Перший відділ Корюківського районного територіального центру комплектування та соціальної підтримки забезпечують своєчасне та якісне виконання заходів Програми, ефективне і цільове використання бюджетних коштів.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Заступник міського голови з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питань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  <w:sectPr>
          <w:headerReference w:type="default" r:id="rId9"/>
          <w:headerReference w:type="even" r:id="rId10"/>
          <w:headerReference w:type="first" r:id="rId11"/>
          <w:footerReference w:type="first" r:id="rId14"/>
          <w:footnotePr/>
          <w:endnotePr/>
          <w:type w:val="nextPage"/>
          <w:pgSz w:h="16838" w:orient="portrait" w:w="11906"/>
          <w:pgMar w:top="1134" w:right="567" w:bottom="1134" w:left="1701" w:header="709" w:footer="709" w:gutter="0"/>
          <w:cols w:num="1" w:sep="0" w:space="708" w:equalWidth="1"/>
          <w:titlePg/>
        </w:sect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діяльності виконавчих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органів ради</w:t>
        <w:tab/>
        <w:t xml:space="preserve">Сергій ГАЄВОЙ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 w:left="1006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Додаток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1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Bdr/>
        <w:spacing/>
        <w:ind w:left="10065"/>
        <w:jc w:val="both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color w:val="000000" w:themeColor="text1"/>
          <w:sz w:val="28"/>
        </w:rPr>
        <w:t xml:space="preserve">до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ї територіальної громади на 2025-2027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/>
          <w:sz w:val="28"/>
          <w:szCs w:val="32"/>
        </w:rPr>
      </w:r>
      <w:r>
        <w:rPr>
          <w:rFonts w:ascii="Times New Roman" w:hAnsi="Times New Roman"/>
          <w:b/>
          <w:color w:val="000000"/>
          <w:sz w:val="28"/>
          <w:szCs w:val="32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pPr>
      <w:r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r>
      <w:r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r>
      <w:r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pPr>
      <w:r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r>
      <w:r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r>
      <w:r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pacing w:val="-1"/>
          <w:sz w:val="28"/>
          <w:szCs w:val="28"/>
          <w:lang w:val="uk-UA"/>
        </w:rPr>
        <w:t xml:space="preserve">ЗАХОДИ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2022-2024 роки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15768" w:type="dxa"/>
        <w:tblInd w:w="-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003"/>
        <w:gridCol w:w="1418"/>
        <w:gridCol w:w="2406"/>
        <w:gridCol w:w="2548"/>
        <w:gridCol w:w="856"/>
        <w:gridCol w:w="996"/>
        <w:gridCol w:w="856"/>
        <w:gridCol w:w="2119"/>
      </w:tblGrid>
      <w:tr>
        <w:trPr>
          <w:trHeight w:val="297"/>
        </w:trPr>
        <w:tc>
          <w:tcPr>
            <w:tcBorders/>
            <w:tcW w:w="566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з/п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4003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Перелік заходів Програми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418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Строк виконання заходів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406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Виконавці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548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Джерела фінансування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/>
            <w:tcW w:w="2708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-105" w:firstLine="147" w:lef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Орієнтовані обсяги фінансування, тис. грн.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119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Очікуваний результат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22"/>
        </w:trPr>
        <w:tc>
          <w:tcPr>
            <w:tcBorders/>
            <w:tcW w:w="566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03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6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48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 w:val="0"/>
                <w:bCs w:val="0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lang w:val="uk-UA"/>
              </w:rPr>
              <w:t xml:space="preserve">2025 р.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-2"/>
                <w:sz w:val="16"/>
                <w:szCs w:val="16"/>
              </w:rPr>
            </w:r>
          </w:p>
        </w:tc>
        <w:tc>
          <w:tcPr>
            <w:tcBorders/>
            <w:tcW w:w="99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pacing w:val="-2"/>
                <w:sz w:val="16"/>
                <w:szCs w:val="16"/>
                <w:lang w:val="uk-UA"/>
              </w:rPr>
              <w:t xml:space="preserve">2026 р.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-2"/>
                <w:sz w:val="16"/>
                <w:szCs w:val="16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-2"/>
                <w:sz w:val="16"/>
                <w:szCs w:val="16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 w:val="0"/>
                <w:bCs w:val="0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pacing w:val="-2"/>
                <w:sz w:val="16"/>
                <w:szCs w:val="16"/>
                <w:lang w:val="uk-UA"/>
              </w:rPr>
              <w:t xml:space="preserve">2027 р.</w:t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-2"/>
                <w:sz w:val="16"/>
                <w:szCs w:val="16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pacing w:val="-2"/>
                <w:sz w:val="16"/>
                <w:szCs w:val="16"/>
              </w:rPr>
            </w:r>
          </w:p>
        </w:tc>
        <w:tc>
          <w:tcPr>
            <w:tcBorders/>
            <w:tcW w:w="2119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1784"/>
        </w:trPr>
        <w:tc>
          <w:tcPr>
            <w:tcBorders/>
            <w:tcW w:w="56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Доставка транспортних засобів у визначені пункти збору для передачі військовим формуванням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2025 -2027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13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16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-105" w:left="-3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Успішне та своєчасне виконання заходів мобілізації по забезпеченню потреб Збройних сил України у людських ресурсах та справних комплектних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транспортних засобах в умовах особливого періоду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1015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Організація надання послуг з транспортних перевезень військовозобов’язаних, призваних по мобілізації, призовників, військовослужбовц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ів за контрактом, співробітників правоохоронних органів до пунктів збору, військових частин, для проходження обласної військово-лікарської комісії та у зворотному напрямку, для проведення навчальних зборів, навчань і тренувань з мобілізаційного розгортання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1200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1400</w:t>
            </w:r>
            <w:r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Merge w:val="continue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Сприяння в роботі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першого відділу Корюківського районного територіального центру комплектування та соціальної підтримки з оповіщення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та призову на військову службу в т.ч. під час мобілізації, розшуку та збору військовозобов’язаних і призовників на території громади, в т.ч.: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-придбання пально-мастильних матеріалів;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запасних частин;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оплата послуг по ремонту транспортних засобів;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комп’ютерної техніки та обладнання;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нагрудних бодікамер (нагрудних відео реєстраторів);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lang w:val="uk-UA"/>
              </w:rPr>
            </w:r>
          </w:p>
          <w:p>
            <w:pPr>
              <w:widowControl w:val="false"/>
              <w:pBdr/>
              <w:spacing/>
              <w:ind w:right="11"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lang w:val="uk-UA"/>
              </w:rPr>
              <w:t xml:space="preserve">-придбання ІР-відеокамер.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300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450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600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Merge w:val="continue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4.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Надання транспортних послуг для доставки посадових осіб Першого відділу Корюківського районного територі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ального центру комплектування та соціальної підтримки до населених пунктів громади, підприємств, установ і організацій громади для проведення перевірки військового обліку військовозобов’язаних і призовників та мобілізаційної готовності транспортних засобів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13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16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Merge w:val="continue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5.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Організація медичних оглядів призовників, військовозобов’язаних, що призиваються на навчальні збори до військових частин, військовозобов’язаних в строки, визначені законодавством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 р. 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40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50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60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щодо призову на військову службу та навчальні збори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6.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Забезпечення належної роботи призовного пункту першого відділу Корюківського районного територіального центру комплектування та соціальної підтримки під час мобілізації в період воєнного стану в т.ч.: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79"/>
              <w:widowControl w:val="false"/>
              <w:numPr>
                <w:ilvl w:val="0"/>
                <w:numId w:val="10"/>
              </w:numPr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придбання комп’ютерної техніки та обладнання.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79"/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-202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 р. р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120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140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щодо призову на військову службу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7.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Забезпечення навчання старост старостинських округів громади та відповідальних за військовий облік підприємств, установ та організацій з питань військового обліку та мобілізації, в т.ч.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79"/>
              <w:widowControl w:val="false"/>
              <w:numPr>
                <w:ilvl w:val="0"/>
                <w:numId w:val="10"/>
              </w:numPr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придбання фотографічного обладнання.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79"/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 р. р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bookmarkStart w:id="1" w:name="_GoBack"/>
            <w:r/>
            <w:bookmarkEnd w:id="1"/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150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200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щодо призову на військову службу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gridSpan w:val="5"/>
            <w:tcBorders/>
            <w:tcW w:w="10941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Усього: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1560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1996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ff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2432</w:t>
            </w:r>
            <w:r>
              <w:rPr>
                <w:rFonts w:ascii="Times New Roman" w:hAnsi="Times New Roman"/>
                <w:b/>
                <w:bCs/>
                <w:color w:val="ff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ff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Bdr/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Заступник міського голови з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питань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діяльності виконавчих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органів ради                                                                                                                    Сергій ГАЄВОЙ </w:t>
      </w:r>
      <w:r>
        <w:rPr>
          <w:rFonts w:ascii="Times New Roman" w:hAnsi="Times New Roman"/>
          <w:color w:val="000000" w:themeColor="text1"/>
          <w:sz w:val="28"/>
          <w:lang w:val="uk-UA"/>
        </w:rPr>
        <w:br w:type="page" w:clear="all"/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 w:left="1006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Додаток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2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Bdr/>
        <w:spacing/>
        <w:ind w:left="10065"/>
        <w:jc w:val="both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color w:val="000000" w:themeColor="text1"/>
          <w:sz w:val="28"/>
        </w:rPr>
        <w:t xml:space="preserve">до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ї територіальної громади на 2025-2027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/>
          <w:sz w:val="28"/>
          <w:szCs w:val="32"/>
        </w:rPr>
      </w:r>
      <w:r>
        <w:rPr>
          <w:rFonts w:ascii="Times New Roman" w:hAnsi="Times New Roman"/>
          <w:b/>
          <w:color w:val="000000"/>
          <w:sz w:val="28"/>
          <w:szCs w:val="32"/>
        </w:rPr>
      </w:r>
    </w:p>
    <w:p>
      <w:pPr>
        <w:pBdr/>
        <w:spacing/>
        <w:ind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Ресурсне забезпечення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hd w:val="clear" w:color="ffffff" w:fill="ffffff"/>
        <w:spacing/>
        <w:ind w:right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ПРОГРАМИ ВИКОНАННЯ ЗАХОДІВ З МОБІЛІЗАЦІЇ, ПРИЗОВУ НА СТРОКОВУ ВІЙСЬКОВУ СЛУЖБУ НА ТЕРИТОРІЇ НАСЕЛЕНИХ ПУНКТІВ МЕНСЬКОЇ МІСЬКОЇ  ТЕРИТОРІАЛЬНОЇ ГРОМАДИ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hd w:val="clear" w:color="ffffff" w:fill="ffffff"/>
        <w:spacing/>
        <w:ind w:right="1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2025-2027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0" w:type="auto"/>
        <w:jc w:val="center"/>
        <w:tblInd w:w="-1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999"/>
        <w:gridCol w:w="4869"/>
      </w:tblGrid>
      <w:tr>
        <w:trPr>
          <w:jc w:val="center"/>
        </w:trPr>
        <w:tc>
          <w:tcPr>
            <w:tcBorders/>
            <w:tcW w:w="999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Обсяг коштів, які пропонується залучити на виконання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8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Усього витрат на виконання Програми, тис. гривень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999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Обсяг ресурсів, всього на 2025-2027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роки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8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5988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999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Бюджет Менської місько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ї територіальної громади на 2025-2027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8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5988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Заступник міського голови з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питань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діяльності виконавчих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органів ради                                                                                                      Сергій ГАЄВОЙ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sectPr>
      <w:headerReference w:type="default" r:id="rId12"/>
      <w:headerReference w:type="even" r:id="rId13"/>
      <w:footnotePr/>
      <w:endnotePr/>
      <w:type w:val="nextPage"/>
      <w:pgSz w:h="11906" w:orient="landscape" w:w="16838"/>
      <w:pgMar w:top="709" w:right="709" w:bottom="567" w:left="851" w:header="720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framePr w:hAnchor="margin" w:vAnchor="text" w:w="170" w:wrap="around" w:xAlign="center" w:y="1"/>
      <w:pBdr/>
      <w:spacing/>
      <w:ind/>
      <w:rPr>
        <w:rStyle w:val="1042"/>
      </w:rPr>
    </w:pPr>
    <w:r>
      <w:rPr>
        <w:rStyle w:val="1042"/>
      </w:rPr>
      <w:fldChar w:fldCharType="begin"/>
    </w:r>
    <w:r>
      <w:rPr>
        <w:rStyle w:val="1042"/>
      </w:rPr>
      <w:instrText xml:space="preserve">PAGE  </w:instrText>
    </w:r>
    <w:r>
      <w:rPr>
        <w:rStyle w:val="1042"/>
      </w:rPr>
      <w:fldChar w:fldCharType="separate"/>
    </w:r>
    <w:r>
      <w:rPr>
        <w:rStyle w:val="1042"/>
      </w:rPr>
      <w:t xml:space="preserve">2</w:t>
    </w:r>
    <w:r>
      <w:rPr>
        <w:rStyle w:val="1042"/>
      </w:rPr>
      <w:fldChar w:fldCharType="end"/>
    </w:r>
    <w:r>
      <w:rPr>
        <w:rStyle w:val="1042"/>
      </w:rPr>
    </w:r>
    <w:r>
      <w:rPr>
        <w:rStyle w:val="1042"/>
      </w:rPr>
    </w:r>
  </w:p>
  <w:p>
    <w:pPr>
      <w:pStyle w:val="1040"/>
      <w:pBdr/>
      <w:tabs>
        <w:tab w:val="left" w:leader="none" w:pos="2544"/>
        <w:tab w:val="clear" w:leader="none" w:pos="4153"/>
        <w:tab w:val="center" w:leader="none" w:pos="4819"/>
        <w:tab w:val="clear" w:leader="none" w:pos="8306"/>
      </w:tabs>
      <w:spacing/>
      <w:ind/>
      <w:jc w:val="right"/>
      <w:rPr>
        <w:i/>
        <w:sz w:val="24"/>
      </w:rPr>
    </w:pPr>
    <w:r>
      <w:tab/>
    </w:r>
    <w:r>
      <w:tab/>
    </w:r>
    <w:r>
      <w:rPr>
        <w:i/>
        <w:sz w:val="24"/>
      </w:rPr>
      <w:t xml:space="preserve">продовження додатка</w:t>
    </w:r>
    <w:r>
      <w:rPr>
        <w:i/>
        <w:sz w:val="24"/>
      </w:rPr>
    </w:r>
    <w:r>
      <w:rPr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framePr w:hAnchor="margin" w:vAnchor="text" w:wrap="around" w:xAlign="center" w:y="1"/>
      <w:pBdr/>
      <w:spacing/>
      <w:ind/>
      <w:rPr>
        <w:rStyle w:val="1042"/>
      </w:rPr>
    </w:pPr>
    <w:r>
      <w:rPr>
        <w:rStyle w:val="1042"/>
      </w:rPr>
      <w:fldChar w:fldCharType="begin"/>
    </w:r>
    <w:r>
      <w:rPr>
        <w:rStyle w:val="1042"/>
      </w:rPr>
      <w:instrText xml:space="preserve">PAGE  </w:instrText>
    </w:r>
    <w:r>
      <w:rPr>
        <w:rStyle w:val="1042"/>
      </w:rPr>
      <w:fldChar w:fldCharType="separate"/>
    </w:r>
    <w:r>
      <w:rPr>
        <w:rStyle w:val="1042"/>
      </w:rPr>
      <w:t xml:space="preserve">6</w:t>
    </w:r>
    <w:r>
      <w:rPr>
        <w:rStyle w:val="1042"/>
      </w:rPr>
      <w:fldChar w:fldCharType="end"/>
    </w:r>
    <w:r>
      <w:rPr>
        <w:rStyle w:val="1042"/>
      </w:rPr>
    </w:r>
    <w:r>
      <w:rPr>
        <w:rStyle w:val="1042"/>
      </w:rPr>
    </w:r>
  </w:p>
  <w:p>
    <w:pPr>
      <w:pStyle w:val="104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1040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framePr w:hAnchor="margin" w:vAnchor="text" w:wrap="around" w:xAlign="center" w:y="1"/>
      <w:pBdr/>
      <w:spacing/>
      <w:ind/>
      <w:rPr>
        <w:rStyle w:val="1042"/>
      </w:rPr>
    </w:pPr>
    <w:r>
      <w:rPr>
        <w:rStyle w:val="1042"/>
      </w:rPr>
      <w:fldChar w:fldCharType="begin"/>
    </w:r>
    <w:r>
      <w:rPr>
        <w:rStyle w:val="1042"/>
      </w:rPr>
      <w:instrText xml:space="preserve">PAGE  </w:instrText>
    </w:r>
    <w:r>
      <w:rPr>
        <w:rStyle w:val="1042"/>
      </w:rPr>
      <w:fldChar w:fldCharType="separate"/>
    </w:r>
    <w:r>
      <w:rPr>
        <w:rStyle w:val="1042"/>
      </w:rPr>
      <w:t xml:space="preserve">11</w:t>
    </w:r>
    <w:r>
      <w:rPr>
        <w:rStyle w:val="1042"/>
      </w:rPr>
      <w:fldChar w:fldCharType="end"/>
    </w:r>
    <w:r>
      <w:rPr>
        <w:rStyle w:val="1042"/>
      </w:rPr>
    </w:r>
    <w:r>
      <w:rPr>
        <w:rStyle w:val="1042"/>
      </w:rPr>
    </w:r>
  </w:p>
  <w:p>
    <w:pPr>
      <w:pStyle w:val="1040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framePr w:hAnchor="margin" w:vAnchor="text" w:wrap="around" w:xAlign="center" w:y="1"/>
      <w:pBdr/>
      <w:spacing/>
      <w:ind/>
      <w:rPr>
        <w:rStyle w:val="1042"/>
      </w:rPr>
    </w:pPr>
    <w:r>
      <w:rPr>
        <w:rStyle w:val="1042"/>
      </w:rPr>
      <w:fldChar w:fldCharType="begin"/>
    </w:r>
    <w:r>
      <w:rPr>
        <w:rStyle w:val="1042"/>
      </w:rPr>
      <w:instrText xml:space="preserve">PAGE  </w:instrText>
    </w:r>
    <w:r>
      <w:rPr>
        <w:rStyle w:val="1042"/>
      </w:rPr>
      <w:fldChar w:fldCharType="end"/>
    </w:r>
    <w:r>
      <w:rPr>
        <w:rStyle w:val="1042"/>
      </w:rPr>
    </w:r>
    <w:r>
      <w:rPr>
        <w:rStyle w:val="1042"/>
      </w:rPr>
    </w:r>
  </w:p>
  <w:p>
    <w:pPr>
      <w:pStyle w:val="104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7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7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1068"/>
        </w:tabs>
        <w:spacing/>
        <w:ind w:hanging="357" w:left="1068"/>
      </w:pPr>
      <w:rPr>
        <w:rFonts w:cs="Times New Roman"/>
      </w:rPr>
      <w:start w:val="2"/>
      <w:suff w:val="tab"/>
    </w:lvl>
    <w:lvl w:ilvl="1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2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3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4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5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6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7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8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7" w:left="481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7" w:left="553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7" w:left="625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7" w:left="697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7" w:left="769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7" w:left="841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7" w:left="913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7" w:left="985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7" w:left="10579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7" w:left="1068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7" w:left="648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57" w:left="141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7" w:left="213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7" w:left="285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7" w:left="357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7" w:left="429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7" w:left="501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7" w:left="573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7" w:left="645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7" w:left="7177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7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7" w:left="648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 w:cs="Times New Roman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427"/>
        </w:tabs>
        <w:spacing/>
        <w:ind w:hanging="357" w:left="42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7" w:left="648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8" w:default="1">
    <w:name w:val="Normal"/>
    <w:qFormat/>
    <w:pPr>
      <w:pBdr/>
      <w:spacing/>
      <w:ind/>
    </w:pPr>
    <w:rPr>
      <w:sz w:val="22"/>
      <w:szCs w:val="22"/>
      <w:lang w:eastAsia="en-US"/>
    </w:rPr>
  </w:style>
  <w:style w:type="paragraph" w:styleId="799">
    <w:name w:val="Heading 1"/>
    <w:basedOn w:val="798"/>
    <w:next w:val="79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00">
    <w:name w:val="Heading 2"/>
    <w:basedOn w:val="798"/>
    <w:next w:val="7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01">
    <w:name w:val="Heading 3"/>
    <w:basedOn w:val="798"/>
    <w:next w:val="79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02">
    <w:name w:val="Heading 4"/>
    <w:basedOn w:val="798"/>
    <w:next w:val="79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03">
    <w:name w:val="Heading 5"/>
    <w:basedOn w:val="798"/>
    <w:next w:val="79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04">
    <w:name w:val="Heading 6"/>
    <w:basedOn w:val="798"/>
    <w:next w:val="79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semiHidden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paragraph" w:styleId="811">
    <w:name w:val="Header"/>
    <w:basedOn w:val="79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12">
    <w:name w:val="Footer"/>
    <w:basedOn w:val="79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13">
    <w:name w:val="Caption"/>
    <w:basedOn w:val="798"/>
    <w:next w:val="798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14">
    <w:name w:val="Intense Emphasis"/>
    <w:basedOn w:val="80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15">
    <w:name w:val="Intense Reference"/>
    <w:basedOn w:val="80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1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818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9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20">
    <w:name w:val="FollowedHyperlink"/>
    <w:basedOn w:val="80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21" w:customStyle="1">
    <w:name w:val="Заголовок 11"/>
    <w:basedOn w:val="798"/>
    <w:next w:val="7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2" w:customStyle="1">
    <w:name w:val="Заголовок 21"/>
    <w:basedOn w:val="798"/>
    <w:next w:val="7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3" w:customStyle="1">
    <w:name w:val="Заголовок 3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4" w:customStyle="1">
    <w:name w:val="Заголовок 4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5" w:customStyle="1">
    <w:name w:val="Заголовок 5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6" w:customStyle="1">
    <w:name w:val="Заголовок 6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27" w:customStyle="1">
    <w:name w:val="Заголовок 7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28" w:customStyle="1">
    <w:name w:val="Заголовок 8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29" w:customStyle="1">
    <w:name w:val="Заголовок 9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30" w:customStyle="1">
    <w:name w:val="Верхний колонтитул1"/>
    <w:basedOn w:val="79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31" w:customStyle="1">
    <w:name w:val="Нижний колонтитул1"/>
    <w:basedOn w:val="79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32" w:customStyle="1">
    <w:name w:val="Название объекта1"/>
    <w:basedOn w:val="798"/>
    <w:next w:val="79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33" w:customStyle="1">
    <w:name w:val="Заголовок 4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4" w:customStyle="1">
    <w:name w:val="Заголовок 5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5" w:customStyle="1">
    <w:name w:val="Заголовок 6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36" w:customStyle="1">
    <w:name w:val="Заголовок 7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37" w:customStyle="1">
    <w:name w:val="Заголовок 8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38" w:customStyle="1">
    <w:name w:val="Заголовок 9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39" w:customStyle="1">
    <w:name w:val="Нижний колонтитул1"/>
    <w:basedOn w:val="798"/>
    <w:link w:val="85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0" w:customStyle="1">
    <w:name w:val="Endnote Text Char"/>
    <w:uiPriority w:val="99"/>
    <w:pPr>
      <w:pBdr/>
      <w:spacing/>
      <w:ind/>
    </w:pPr>
    <w:rPr>
      <w:sz w:val="20"/>
    </w:rPr>
  </w:style>
  <w:style w:type="paragraph" w:styleId="841" w:customStyle="1">
    <w:name w:val="Заголовок 11"/>
    <w:basedOn w:val="798"/>
    <w:next w:val="798"/>
    <w:link w:val="1029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 w:eastAsia="Batang"/>
      <w:b/>
      <w:sz w:val="20"/>
      <w:szCs w:val="20"/>
      <w:lang w:eastAsia="ru-RU"/>
    </w:rPr>
  </w:style>
  <w:style w:type="paragraph" w:styleId="842" w:customStyle="1">
    <w:name w:val="Заголовок 21"/>
    <w:basedOn w:val="798"/>
    <w:next w:val="798"/>
    <w:link w:val="1030"/>
    <w:uiPriority w:val="99"/>
    <w:qFormat/>
    <w:pPr>
      <w:keepNext w:val="true"/>
      <w:pBdr/>
      <w:spacing w:after="60" w:before="240"/>
      <w:ind/>
      <w:outlineLvl w:val="1"/>
    </w:pPr>
    <w:rPr>
      <w:rFonts w:ascii="Arial" w:hAnsi="Arial" w:eastAsia="Batang"/>
      <w:b/>
      <w:i/>
      <w:sz w:val="28"/>
      <w:szCs w:val="20"/>
      <w:lang w:eastAsia="ru-RU"/>
    </w:rPr>
  </w:style>
  <w:style w:type="paragraph" w:styleId="843" w:customStyle="1">
    <w:name w:val="Заголовок 31"/>
    <w:basedOn w:val="798"/>
    <w:next w:val="798"/>
    <w:link w:val="1039"/>
    <w:uiPriority w:val="99"/>
    <w:qFormat/>
    <w:pPr>
      <w:keepNext w:val="true"/>
      <w:pBdr/>
      <w:spacing w:after="60" w:before="240"/>
      <w:ind/>
      <w:outlineLvl w:val="2"/>
    </w:pPr>
    <w:rPr>
      <w:rFonts w:ascii="Cambria" w:hAnsi="Cambria"/>
      <w:b/>
      <w:sz w:val="26"/>
      <w:szCs w:val="20"/>
      <w:lang w:eastAsia="ru-RU"/>
    </w:rPr>
  </w:style>
  <w:style w:type="character" w:styleId="844" w:customStyle="1">
    <w:name w:val="Heading 1 Char"/>
    <w:basedOn w:val="808"/>
    <w:link w:val="964"/>
    <w:uiPriority w:val="99"/>
    <w:pPr>
      <w:pBdr/>
      <w:spacing/>
      <w:ind/>
    </w:pPr>
    <w:rPr>
      <w:rFonts w:ascii="Arial" w:hAnsi="Arial"/>
      <w:sz w:val="40"/>
      <w:szCs w:val="40"/>
      <w:lang w:val="ru-RU" w:eastAsia="ru-RU" w:bidi="ar-SA"/>
    </w:rPr>
  </w:style>
  <w:style w:type="character" w:styleId="845" w:customStyle="1">
    <w:name w:val="Heading 2 Char"/>
    <w:basedOn w:val="808"/>
    <w:link w:val="965"/>
    <w:uiPriority w:val="99"/>
    <w:pPr>
      <w:pBdr/>
      <w:spacing/>
      <w:ind/>
    </w:pPr>
    <w:rPr>
      <w:rFonts w:ascii="Arial" w:hAnsi="Arial"/>
      <w:sz w:val="34"/>
      <w:szCs w:val="22"/>
      <w:lang w:val="ru-RU" w:eastAsia="ru-RU" w:bidi="ar-SA"/>
    </w:rPr>
  </w:style>
  <w:style w:type="character" w:styleId="846" w:customStyle="1">
    <w:name w:val="Heading 3 Char"/>
    <w:basedOn w:val="808"/>
    <w:link w:val="966"/>
    <w:uiPriority w:val="99"/>
    <w:pPr>
      <w:pBdr/>
      <w:spacing/>
      <w:ind/>
    </w:pPr>
    <w:rPr>
      <w:rFonts w:ascii="Arial" w:hAnsi="Arial"/>
      <w:sz w:val="30"/>
      <w:szCs w:val="30"/>
      <w:lang w:val="ru-RU" w:eastAsia="ru-RU" w:bidi="ar-SA"/>
    </w:rPr>
  </w:style>
  <w:style w:type="character" w:styleId="847" w:customStyle="1">
    <w:name w:val="Title Char"/>
    <w:basedOn w:val="808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48" w:customStyle="1">
    <w:name w:val="Subtitle Char"/>
    <w:basedOn w:val="808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49" w:customStyle="1">
    <w:name w:val="Quote Char"/>
    <w:uiPriority w:val="99"/>
    <w:pPr>
      <w:pBdr/>
      <w:spacing/>
      <w:ind/>
    </w:pPr>
    <w:rPr>
      <w:i/>
    </w:rPr>
  </w:style>
  <w:style w:type="character" w:styleId="850" w:customStyle="1">
    <w:name w:val="Intense Quote Char"/>
    <w:uiPriority w:val="99"/>
    <w:pPr>
      <w:pBdr/>
      <w:spacing/>
      <w:ind/>
    </w:pPr>
    <w:rPr>
      <w:i/>
    </w:rPr>
  </w:style>
  <w:style w:type="paragraph" w:styleId="851" w:customStyle="1">
    <w:name w:val="Название объекта1"/>
    <w:basedOn w:val="798"/>
    <w:next w:val="798"/>
    <w:uiPriority w:val="99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52" w:customStyle="1">
    <w:name w:val="Caption Char"/>
    <w:link w:val="839"/>
    <w:uiPriority w:val="99"/>
    <w:pPr>
      <w:pBdr/>
      <w:spacing/>
      <w:ind/>
    </w:pPr>
  </w:style>
  <w:style w:type="table" w:styleId="853" w:customStyle="1">
    <w:name w:val="Table Grid Light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Plain Table 1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Plain Table 2"/>
    <w:uiPriority w:val="9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9" w:customStyle="1">
    <w:name w:val="Footnote Text Char"/>
    <w:uiPriority w:val="99"/>
    <w:pPr>
      <w:pBdr/>
      <w:spacing/>
      <w:ind/>
    </w:pPr>
    <w:rPr>
      <w:sz w:val="18"/>
    </w:rPr>
  </w:style>
  <w:style w:type="paragraph" w:styleId="960">
    <w:name w:val="endnote text"/>
    <w:basedOn w:val="798"/>
    <w:link w:val="961"/>
    <w:uiPriority w:val="99"/>
    <w:semiHidden/>
    <w:pPr>
      <w:pBdr/>
      <w:spacing/>
      <w:ind/>
    </w:pPr>
    <w:rPr>
      <w:sz w:val="20"/>
      <w:szCs w:val="20"/>
      <w:lang w:eastAsia="ru-RU"/>
    </w:rPr>
  </w:style>
  <w:style w:type="character" w:styleId="961" w:customStyle="1">
    <w:name w:val="Текст концевой сноски Знак"/>
    <w:basedOn w:val="808"/>
    <w:link w:val="960"/>
    <w:uiPriority w:val="99"/>
    <w:pPr>
      <w:pBdr/>
      <w:spacing/>
      <w:ind/>
    </w:pPr>
    <w:rPr>
      <w:rFonts w:cs="Times New Roman"/>
      <w:sz w:val="20"/>
    </w:rPr>
  </w:style>
  <w:style w:type="character" w:styleId="962">
    <w:name w:val="endnote reference"/>
    <w:basedOn w:val="808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63">
    <w:name w:val="table of figures"/>
    <w:basedOn w:val="798"/>
    <w:next w:val="798"/>
    <w:uiPriority w:val="99"/>
    <w:pPr>
      <w:pBdr/>
      <w:spacing/>
      <w:ind/>
    </w:pPr>
  </w:style>
  <w:style w:type="paragraph" w:styleId="964" w:customStyle="1">
    <w:name w:val="Heading 11"/>
    <w:link w:val="844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/>
      <w:sz w:val="40"/>
      <w:szCs w:val="40"/>
    </w:rPr>
  </w:style>
  <w:style w:type="paragraph" w:styleId="965" w:customStyle="1">
    <w:name w:val="Heading 21"/>
    <w:link w:val="845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/>
      <w:sz w:val="34"/>
      <w:szCs w:val="22"/>
    </w:rPr>
  </w:style>
  <w:style w:type="paragraph" w:styleId="966" w:customStyle="1">
    <w:name w:val="Heading 31"/>
    <w:link w:val="846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/>
      <w:sz w:val="30"/>
      <w:szCs w:val="30"/>
    </w:rPr>
  </w:style>
  <w:style w:type="paragraph" w:styleId="967" w:customStyle="1">
    <w:name w:val="Heading 41"/>
    <w:link w:val="968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/>
      <w:b/>
      <w:sz w:val="22"/>
      <w:szCs w:val="22"/>
    </w:rPr>
  </w:style>
  <w:style w:type="character" w:styleId="968" w:customStyle="1">
    <w:name w:val="Heading 4 Char"/>
    <w:link w:val="967"/>
    <w:uiPriority w:val="99"/>
    <w:pPr>
      <w:pBdr/>
      <w:spacing/>
      <w:ind/>
    </w:pPr>
    <w:rPr>
      <w:rFonts w:ascii="Arial" w:hAnsi="Arial"/>
      <w:b/>
      <w:sz w:val="22"/>
      <w:szCs w:val="22"/>
      <w:lang w:bidi="ar-SA"/>
    </w:rPr>
  </w:style>
  <w:style w:type="paragraph" w:styleId="969" w:customStyle="1">
    <w:name w:val="Heading 51"/>
    <w:link w:val="970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sz w:val="22"/>
      <w:szCs w:val="22"/>
    </w:rPr>
  </w:style>
  <w:style w:type="character" w:styleId="970" w:customStyle="1">
    <w:name w:val="Heading 5 Char"/>
    <w:link w:val="969"/>
    <w:uiPriority w:val="99"/>
    <w:pPr>
      <w:pBdr/>
      <w:spacing/>
      <w:ind/>
    </w:pPr>
    <w:rPr>
      <w:rFonts w:ascii="Arial" w:hAnsi="Arial"/>
      <w:b/>
      <w:sz w:val="22"/>
      <w:szCs w:val="22"/>
      <w:lang w:bidi="ar-SA"/>
    </w:rPr>
  </w:style>
  <w:style w:type="paragraph" w:styleId="971" w:customStyle="1">
    <w:name w:val="Heading 61"/>
    <w:link w:val="972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sz w:val="22"/>
      <w:szCs w:val="22"/>
    </w:rPr>
  </w:style>
  <w:style w:type="character" w:styleId="972" w:customStyle="1">
    <w:name w:val="Heading 6 Char"/>
    <w:link w:val="971"/>
    <w:uiPriority w:val="99"/>
    <w:pPr>
      <w:pBdr/>
      <w:spacing/>
      <w:ind/>
    </w:pPr>
    <w:rPr>
      <w:rFonts w:ascii="Arial" w:hAnsi="Arial"/>
      <w:b/>
      <w:sz w:val="22"/>
      <w:szCs w:val="22"/>
      <w:lang w:bidi="ar-SA"/>
    </w:rPr>
  </w:style>
  <w:style w:type="paragraph" w:styleId="973" w:customStyle="1">
    <w:name w:val="Heading 71"/>
    <w:link w:val="974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  <w:sz w:val="22"/>
      <w:szCs w:val="22"/>
    </w:rPr>
  </w:style>
  <w:style w:type="character" w:styleId="974" w:customStyle="1">
    <w:name w:val="Heading 7 Char"/>
    <w:link w:val="973"/>
    <w:uiPriority w:val="99"/>
    <w:pPr>
      <w:pBdr/>
      <w:spacing/>
      <w:ind/>
    </w:pPr>
    <w:rPr>
      <w:rFonts w:ascii="Arial" w:hAnsi="Arial"/>
      <w:b/>
      <w:i/>
      <w:sz w:val="22"/>
      <w:szCs w:val="22"/>
      <w:lang w:bidi="ar-SA"/>
    </w:rPr>
  </w:style>
  <w:style w:type="paragraph" w:styleId="975" w:customStyle="1">
    <w:name w:val="Heading 81"/>
    <w:link w:val="976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sz w:val="22"/>
      <w:szCs w:val="22"/>
    </w:rPr>
  </w:style>
  <w:style w:type="character" w:styleId="976" w:customStyle="1">
    <w:name w:val="Heading 8 Char"/>
    <w:link w:val="975"/>
    <w:uiPriority w:val="99"/>
    <w:pPr>
      <w:pBdr/>
      <w:spacing/>
      <w:ind/>
    </w:pPr>
    <w:rPr>
      <w:rFonts w:ascii="Arial" w:hAnsi="Arial"/>
      <w:i/>
      <w:sz w:val="22"/>
      <w:szCs w:val="22"/>
      <w:lang w:bidi="ar-SA"/>
    </w:rPr>
  </w:style>
  <w:style w:type="paragraph" w:styleId="977" w:customStyle="1">
    <w:name w:val="Heading 91"/>
    <w:link w:val="978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2"/>
      <w:szCs w:val="22"/>
    </w:rPr>
  </w:style>
  <w:style w:type="character" w:styleId="978" w:customStyle="1">
    <w:name w:val="Heading 9 Char"/>
    <w:link w:val="977"/>
    <w:uiPriority w:val="99"/>
    <w:pPr>
      <w:pBdr/>
      <w:spacing/>
      <w:ind/>
    </w:pPr>
    <w:rPr>
      <w:rFonts w:ascii="Arial" w:hAnsi="Arial"/>
      <w:i/>
      <w:sz w:val="22"/>
      <w:szCs w:val="22"/>
      <w:lang w:bidi="ar-SA"/>
    </w:rPr>
  </w:style>
  <w:style w:type="paragraph" w:styleId="979">
    <w:name w:val="List Paragraph"/>
    <w:basedOn w:val="798"/>
    <w:uiPriority w:val="99"/>
    <w:qFormat/>
    <w:pPr>
      <w:pBdr/>
      <w:spacing/>
      <w:ind w:left="720"/>
      <w:contextualSpacing w:val="true"/>
    </w:pPr>
  </w:style>
  <w:style w:type="paragraph" w:styleId="980">
    <w:name w:val="No Spacing"/>
    <w:uiPriority w:val="99"/>
    <w:qFormat/>
    <w:pPr>
      <w:pBdr/>
      <w:spacing/>
      <w:ind/>
    </w:pPr>
    <w:rPr>
      <w:sz w:val="22"/>
      <w:szCs w:val="22"/>
      <w:lang w:eastAsia="en-US"/>
    </w:rPr>
  </w:style>
  <w:style w:type="paragraph" w:styleId="981">
    <w:name w:val="Title"/>
    <w:basedOn w:val="798"/>
    <w:link w:val="982"/>
    <w:uiPriority w:val="99"/>
    <w:qFormat/>
    <w:pPr>
      <w:pBdr/>
      <w:spacing w:after="200" w:before="300"/>
      <w:ind/>
      <w:contextualSpacing w:val="true"/>
    </w:pPr>
    <w:rPr>
      <w:sz w:val="48"/>
      <w:szCs w:val="48"/>
      <w:lang w:eastAsia="ru-RU"/>
    </w:rPr>
  </w:style>
  <w:style w:type="character" w:styleId="982" w:customStyle="1">
    <w:name w:val="Название Знак"/>
    <w:basedOn w:val="808"/>
    <w:link w:val="981"/>
    <w:uiPriority w:val="99"/>
    <w:pPr>
      <w:pBdr/>
      <w:spacing/>
      <w:ind/>
    </w:pPr>
    <w:rPr>
      <w:rFonts w:cs="Times New Roman"/>
      <w:sz w:val="48"/>
    </w:rPr>
  </w:style>
  <w:style w:type="paragraph" w:styleId="983">
    <w:name w:val="Subtitle"/>
    <w:basedOn w:val="798"/>
    <w:link w:val="984"/>
    <w:uiPriority w:val="99"/>
    <w:qFormat/>
    <w:pPr>
      <w:pBdr/>
      <w:spacing w:after="200" w:before="200"/>
      <w:ind/>
    </w:pPr>
    <w:rPr>
      <w:sz w:val="24"/>
      <w:szCs w:val="24"/>
      <w:lang w:eastAsia="ru-RU"/>
    </w:rPr>
  </w:style>
  <w:style w:type="character" w:styleId="984" w:customStyle="1">
    <w:name w:val="Подзаголовок Знак"/>
    <w:basedOn w:val="808"/>
    <w:link w:val="983"/>
    <w:uiPriority w:val="99"/>
    <w:pPr>
      <w:pBdr/>
      <w:spacing/>
      <w:ind/>
    </w:pPr>
    <w:rPr>
      <w:rFonts w:cs="Times New Roman"/>
      <w:sz w:val="24"/>
    </w:rPr>
  </w:style>
  <w:style w:type="paragraph" w:styleId="985">
    <w:name w:val="Quote"/>
    <w:basedOn w:val="798"/>
    <w:link w:val="986"/>
    <w:uiPriority w:val="99"/>
    <w:qFormat/>
    <w:pPr>
      <w:pBdr/>
      <w:spacing/>
      <w:ind w:right="720" w:left="720"/>
    </w:pPr>
    <w:rPr>
      <w:i/>
      <w:sz w:val="20"/>
      <w:szCs w:val="20"/>
      <w:lang w:eastAsia="ru-RU"/>
    </w:rPr>
  </w:style>
  <w:style w:type="character" w:styleId="986" w:customStyle="1">
    <w:name w:val="Цитата 2 Знак"/>
    <w:basedOn w:val="808"/>
    <w:link w:val="985"/>
    <w:uiPriority w:val="99"/>
    <w:pPr>
      <w:pBdr/>
      <w:spacing/>
      <w:ind/>
    </w:pPr>
    <w:rPr>
      <w:rFonts w:cs="Times New Roman"/>
      <w:i/>
      <w:sz w:val="22"/>
      <w:lang w:val="ru-RU" w:eastAsia="en-US"/>
    </w:rPr>
  </w:style>
  <w:style w:type="paragraph" w:styleId="987">
    <w:name w:val="Intense Quote"/>
    <w:basedOn w:val="798"/>
    <w:link w:val="988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sz w:val="20"/>
      <w:szCs w:val="20"/>
      <w:lang w:eastAsia="ru-RU"/>
    </w:rPr>
  </w:style>
  <w:style w:type="character" w:styleId="988" w:customStyle="1">
    <w:name w:val="Выделенная цитата Знак"/>
    <w:basedOn w:val="808"/>
    <w:link w:val="987"/>
    <w:uiPriority w:val="99"/>
    <w:pPr>
      <w:pBdr/>
      <w:spacing/>
      <w:ind/>
    </w:pPr>
    <w:rPr>
      <w:rFonts w:cs="Times New Roman"/>
      <w:i/>
      <w:sz w:val="22"/>
      <w:shd w:val="clear" w:color="f2f2f2" w:fill="f2f2f2"/>
      <w:lang w:val="ru-RU" w:eastAsia="en-US"/>
    </w:rPr>
  </w:style>
  <w:style w:type="paragraph" w:styleId="989" w:customStyle="1">
    <w:name w:val="Header1"/>
    <w:link w:val="990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/>
    </w:rPr>
  </w:style>
  <w:style w:type="character" w:styleId="990" w:customStyle="1">
    <w:name w:val="Header Char"/>
    <w:link w:val="989"/>
    <w:uiPriority w:val="99"/>
    <w:pPr>
      <w:pBdr/>
      <w:spacing/>
      <w:ind/>
    </w:pPr>
    <w:rPr>
      <w:sz w:val="22"/>
      <w:szCs w:val="22"/>
      <w:lang w:val="ru-RU" w:eastAsia="en-US" w:bidi="ar-SA"/>
    </w:rPr>
  </w:style>
  <w:style w:type="paragraph" w:styleId="991" w:customStyle="1">
    <w:name w:val="Footer1"/>
    <w:link w:val="992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/>
    </w:rPr>
  </w:style>
  <w:style w:type="character" w:styleId="992" w:customStyle="1">
    <w:name w:val="Footer Char"/>
    <w:link w:val="991"/>
    <w:uiPriority w:val="99"/>
    <w:pPr>
      <w:pBdr/>
      <w:spacing/>
      <w:ind/>
    </w:pPr>
    <w:rPr>
      <w:sz w:val="22"/>
      <w:szCs w:val="22"/>
      <w:lang w:val="ru-RU" w:eastAsia="en-US" w:bidi="ar-SA"/>
    </w:rPr>
  </w:style>
  <w:style w:type="table" w:styleId="993">
    <w:name w:val="Table Grid"/>
    <w:basedOn w:val="809"/>
    <w:uiPriority w:val="99"/>
    <w:pPr>
      <w:pBdr/>
      <w:spacing/>
      <w:ind/>
    </w:pPr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- Accent 1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- Accent 2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3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4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5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6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&amp; Lined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5">
    <w:name w:val="Hyperlink"/>
    <w:basedOn w:val="808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016">
    <w:name w:val="footnote text"/>
    <w:basedOn w:val="798"/>
    <w:link w:val="1017"/>
    <w:uiPriority w:val="99"/>
    <w:semiHidden/>
    <w:pPr>
      <w:pBdr/>
      <w:spacing w:after="40"/>
      <w:ind/>
    </w:pPr>
    <w:rPr>
      <w:sz w:val="18"/>
      <w:szCs w:val="20"/>
      <w:lang w:eastAsia="ru-RU"/>
    </w:rPr>
  </w:style>
  <w:style w:type="character" w:styleId="1017" w:customStyle="1">
    <w:name w:val="Текст сноски Знак"/>
    <w:basedOn w:val="808"/>
    <w:link w:val="1016"/>
    <w:uiPriority w:val="99"/>
    <w:semiHidden/>
    <w:pPr>
      <w:pBdr/>
      <w:spacing/>
      <w:ind/>
    </w:pPr>
    <w:rPr>
      <w:rFonts w:cs="Times New Roman"/>
      <w:sz w:val="22"/>
    </w:rPr>
  </w:style>
  <w:style w:type="character" w:styleId="1018">
    <w:name w:val="footnote reference"/>
    <w:basedOn w:val="808"/>
    <w:uiPriority w:val="99"/>
    <w:pPr>
      <w:pBdr/>
      <w:spacing/>
      <w:ind/>
    </w:pPr>
    <w:rPr>
      <w:rFonts w:cs="Times New Roman"/>
      <w:vertAlign w:val="superscript"/>
    </w:rPr>
  </w:style>
  <w:style w:type="paragraph" w:styleId="1019">
    <w:name w:val="toc 1"/>
    <w:basedOn w:val="798"/>
    <w:uiPriority w:val="99"/>
    <w:pPr>
      <w:pBdr/>
      <w:spacing w:after="57"/>
      <w:ind/>
    </w:pPr>
  </w:style>
  <w:style w:type="paragraph" w:styleId="1020">
    <w:name w:val="toc 2"/>
    <w:basedOn w:val="798"/>
    <w:uiPriority w:val="99"/>
    <w:pPr>
      <w:pBdr/>
      <w:spacing w:after="57"/>
      <w:ind w:left="283"/>
    </w:pPr>
  </w:style>
  <w:style w:type="paragraph" w:styleId="1021">
    <w:name w:val="toc 3"/>
    <w:basedOn w:val="798"/>
    <w:uiPriority w:val="99"/>
    <w:pPr>
      <w:pBdr/>
      <w:spacing w:after="57"/>
      <w:ind w:left="567"/>
    </w:pPr>
  </w:style>
  <w:style w:type="paragraph" w:styleId="1022">
    <w:name w:val="toc 4"/>
    <w:basedOn w:val="798"/>
    <w:uiPriority w:val="99"/>
    <w:pPr>
      <w:pBdr/>
      <w:spacing w:after="57"/>
      <w:ind w:left="850"/>
    </w:pPr>
  </w:style>
  <w:style w:type="paragraph" w:styleId="1023">
    <w:name w:val="toc 5"/>
    <w:basedOn w:val="798"/>
    <w:uiPriority w:val="99"/>
    <w:pPr>
      <w:pBdr/>
      <w:spacing w:after="57"/>
      <w:ind w:left="1134"/>
    </w:pPr>
  </w:style>
  <w:style w:type="paragraph" w:styleId="1024">
    <w:name w:val="toc 6"/>
    <w:basedOn w:val="798"/>
    <w:uiPriority w:val="99"/>
    <w:pPr>
      <w:pBdr/>
      <w:spacing w:after="57"/>
      <w:ind w:left="1417"/>
    </w:pPr>
  </w:style>
  <w:style w:type="paragraph" w:styleId="1025">
    <w:name w:val="toc 7"/>
    <w:basedOn w:val="798"/>
    <w:uiPriority w:val="99"/>
    <w:pPr>
      <w:pBdr/>
      <w:spacing w:after="57"/>
      <w:ind w:left="1701"/>
    </w:pPr>
  </w:style>
  <w:style w:type="paragraph" w:styleId="1026">
    <w:name w:val="toc 8"/>
    <w:basedOn w:val="798"/>
    <w:uiPriority w:val="99"/>
    <w:pPr>
      <w:pBdr/>
      <w:spacing w:after="57"/>
      <w:ind w:left="1984"/>
    </w:pPr>
  </w:style>
  <w:style w:type="paragraph" w:styleId="1027">
    <w:name w:val="toc 9"/>
    <w:basedOn w:val="798"/>
    <w:uiPriority w:val="99"/>
    <w:pPr>
      <w:pBdr/>
      <w:spacing w:after="57"/>
      <w:ind w:left="2268"/>
    </w:pPr>
  </w:style>
  <w:style w:type="paragraph" w:styleId="1028">
    <w:name w:val="TOC Heading"/>
    <w:basedOn w:val="841"/>
    <w:uiPriority w:val="99"/>
    <w:qFormat/>
    <w:pPr>
      <w:keepNext w:val="false"/>
      <w:pBdr/>
      <w:spacing/>
      <w:ind/>
      <w:jc w:val="left"/>
      <w:outlineLvl w:val="9"/>
    </w:pPr>
    <w:rPr>
      <w:rFonts w:ascii="Calibri" w:hAnsi="Calibri" w:eastAsia="Times New Roman"/>
      <w:b w:val="0"/>
      <w:sz w:val="22"/>
      <w:szCs w:val="22"/>
      <w:lang w:eastAsia="en-US"/>
    </w:rPr>
  </w:style>
  <w:style w:type="character" w:styleId="1029" w:customStyle="1">
    <w:name w:val="Заголовок 1 Знак"/>
    <w:link w:val="841"/>
    <w:uiPriority w:val="99"/>
    <w:pPr>
      <w:pBdr/>
      <w:spacing/>
      <w:ind/>
    </w:pPr>
    <w:rPr>
      <w:rFonts w:ascii="Times New Roman" w:hAnsi="Times New Roman" w:eastAsia="Batang"/>
      <w:b/>
      <w:sz w:val="20"/>
      <w:lang w:eastAsia="ru-RU"/>
    </w:rPr>
  </w:style>
  <w:style w:type="character" w:styleId="1030" w:customStyle="1">
    <w:name w:val="Заголовок 2 Знак"/>
    <w:link w:val="842"/>
    <w:uiPriority w:val="99"/>
    <w:pPr>
      <w:pBdr/>
      <w:spacing/>
      <w:ind/>
    </w:pPr>
    <w:rPr>
      <w:rFonts w:ascii="Arial" w:hAnsi="Arial" w:eastAsia="Batang"/>
      <w:b/>
      <w:i/>
      <w:sz w:val="28"/>
      <w:lang w:eastAsia="ru-RU"/>
    </w:rPr>
  </w:style>
  <w:style w:type="paragraph" w:styleId="1031">
    <w:name w:val="Body Text"/>
    <w:basedOn w:val="798"/>
    <w:link w:val="1032"/>
    <w:uiPriority w:val="99"/>
    <w:pPr>
      <w:pBdr/>
      <w:spacing/>
      <w:ind/>
      <w:jc w:val="both"/>
    </w:pPr>
    <w:rPr>
      <w:rFonts w:ascii="Times New Roman" w:hAnsi="Times New Roman" w:eastAsia="Batang"/>
      <w:b/>
      <w:sz w:val="28"/>
      <w:szCs w:val="20"/>
      <w:lang w:eastAsia="ru-RU"/>
    </w:rPr>
  </w:style>
  <w:style w:type="character" w:styleId="1032" w:customStyle="1">
    <w:name w:val="Основной текст Знак"/>
    <w:basedOn w:val="808"/>
    <w:link w:val="1031"/>
    <w:uiPriority w:val="99"/>
    <w:pPr>
      <w:pBdr/>
      <w:spacing/>
      <w:ind/>
    </w:pPr>
    <w:rPr>
      <w:rFonts w:ascii="Times New Roman" w:hAnsi="Times New Roman" w:eastAsia="Batang" w:cs="Times New Roman"/>
      <w:b/>
      <w:sz w:val="20"/>
      <w:lang w:eastAsia="ru-RU"/>
    </w:rPr>
  </w:style>
  <w:style w:type="paragraph" w:styleId="1033">
    <w:name w:val="Balloon Text"/>
    <w:basedOn w:val="798"/>
    <w:link w:val="1034"/>
    <w:uiPriority w:val="99"/>
    <w:semiHidden/>
    <w:pPr>
      <w:pBdr/>
      <w:spacing/>
      <w:ind/>
    </w:pPr>
    <w:rPr>
      <w:rFonts w:ascii="Tahoma" w:hAnsi="Tahoma"/>
      <w:sz w:val="16"/>
      <w:szCs w:val="16"/>
      <w:lang w:eastAsia="ru-RU"/>
    </w:rPr>
  </w:style>
  <w:style w:type="character" w:styleId="1034" w:customStyle="1">
    <w:name w:val="Текст выноски Знак"/>
    <w:basedOn w:val="808"/>
    <w:link w:val="1033"/>
    <w:uiPriority w:val="99"/>
    <w:semiHidden/>
    <w:pPr>
      <w:pBdr/>
      <w:spacing/>
      <w:ind/>
    </w:pPr>
    <w:rPr>
      <w:rFonts w:ascii="Tahoma" w:hAnsi="Tahoma" w:cs="Times New Roman"/>
      <w:sz w:val="16"/>
    </w:rPr>
  </w:style>
  <w:style w:type="paragraph" w:styleId="1035">
    <w:name w:val="Normal (Web)"/>
    <w:basedOn w:val="798"/>
    <w:uiPriority w:val="99"/>
    <w:pPr>
      <w:pBdr/>
      <w:spacing w:after="117" w:before="59"/>
      <w:ind/>
    </w:pPr>
    <w:rPr>
      <w:rFonts w:ascii="Times New Roman" w:hAnsi="Times New Roman"/>
      <w:sz w:val="24"/>
      <w:szCs w:val="24"/>
      <w:lang w:eastAsia="ru-RU"/>
    </w:rPr>
  </w:style>
  <w:style w:type="character" w:styleId="1036">
    <w:name w:val="Strong"/>
    <w:basedOn w:val="808"/>
    <w:uiPriority w:val="99"/>
    <w:qFormat/>
    <w:pPr>
      <w:pBdr/>
      <w:spacing/>
      <w:ind/>
    </w:pPr>
    <w:rPr>
      <w:rFonts w:cs="Times New Roman"/>
      <w:b/>
    </w:rPr>
  </w:style>
  <w:style w:type="paragraph" w:styleId="1037">
    <w:name w:val="Body Text 2"/>
    <w:basedOn w:val="798"/>
    <w:link w:val="1038"/>
    <w:uiPriority w:val="99"/>
    <w:semiHidden/>
    <w:pPr>
      <w:pBdr/>
      <w:spacing w:after="120" w:line="480" w:lineRule="auto"/>
      <w:ind/>
    </w:pPr>
    <w:rPr>
      <w:lang w:eastAsia="ru-RU"/>
    </w:rPr>
  </w:style>
  <w:style w:type="character" w:styleId="1038" w:customStyle="1">
    <w:name w:val="Основной текст 2 Знак"/>
    <w:basedOn w:val="808"/>
    <w:link w:val="1037"/>
    <w:uiPriority w:val="99"/>
    <w:semiHidden/>
    <w:pPr>
      <w:pBdr/>
      <w:spacing/>
      <w:ind/>
    </w:pPr>
    <w:rPr>
      <w:rFonts w:cs="Times New Roman"/>
      <w:sz w:val="22"/>
    </w:rPr>
  </w:style>
  <w:style w:type="character" w:styleId="1039" w:customStyle="1">
    <w:name w:val="Заголовок 3 Знак"/>
    <w:link w:val="843"/>
    <w:uiPriority w:val="99"/>
    <w:semiHidden/>
    <w:pPr>
      <w:pBdr/>
      <w:spacing/>
      <w:ind/>
    </w:pPr>
    <w:rPr>
      <w:rFonts w:ascii="Cambria" w:hAnsi="Cambria"/>
      <w:b/>
      <w:sz w:val="26"/>
      <w:lang w:eastAsia="ru-RU"/>
    </w:rPr>
  </w:style>
  <w:style w:type="paragraph" w:styleId="1040" w:customStyle="1">
    <w:name w:val="Верхний колонтитул1"/>
    <w:basedOn w:val="798"/>
    <w:link w:val="1041"/>
    <w:uiPriority w:val="99"/>
    <w:pPr>
      <w:pBdr/>
      <w:tabs>
        <w:tab w:val="center" w:leader="none" w:pos="4153"/>
        <w:tab w:val="right" w:leader="none" w:pos="8306"/>
      </w:tabs>
      <w:spacing/>
      <w:ind/>
    </w:pPr>
    <w:rPr>
      <w:rFonts w:ascii="Times New Roman" w:hAnsi="Times New Roman"/>
      <w:sz w:val="20"/>
      <w:szCs w:val="20"/>
      <w:lang w:eastAsia="ru-RU"/>
    </w:rPr>
  </w:style>
  <w:style w:type="character" w:styleId="1041" w:customStyle="1">
    <w:name w:val="Верхний колонтитул Знак"/>
    <w:basedOn w:val="808"/>
    <w:link w:val="1040"/>
    <w:uiPriority w:val="99"/>
    <w:pPr>
      <w:pBdr/>
      <w:spacing/>
      <w:ind/>
    </w:pPr>
    <w:rPr>
      <w:rFonts w:ascii="Times New Roman" w:hAnsi="Times New Roman" w:cs="Times New Roman"/>
      <w:lang w:eastAsia="ru-RU"/>
    </w:rPr>
  </w:style>
  <w:style w:type="character" w:styleId="1042">
    <w:name w:val="page number"/>
    <w:basedOn w:val="808"/>
    <w:uiPriority w:val="99"/>
    <w:pPr>
      <w:pBdr/>
      <w:spacing/>
      <w:ind/>
    </w:pPr>
    <w:rPr>
      <w:rFonts w:cs="Times New Roman"/>
    </w:rPr>
  </w:style>
  <w:style w:type="paragraph" w:styleId="1043">
    <w:name w:val="Body Text Indent"/>
    <w:basedOn w:val="798"/>
    <w:link w:val="1044"/>
    <w:uiPriority w:val="99"/>
    <w:pPr>
      <w:pBdr/>
      <w:spacing w:after="120"/>
      <w:ind w:left="283"/>
    </w:pPr>
    <w:rPr>
      <w:rFonts w:ascii="Times New Roman" w:hAnsi="Times New Roman" w:eastAsia="Batang"/>
      <w:sz w:val="20"/>
      <w:szCs w:val="20"/>
      <w:lang w:eastAsia="ru-RU"/>
    </w:rPr>
  </w:style>
  <w:style w:type="character" w:styleId="1044" w:customStyle="1">
    <w:name w:val="Основной текст с отступом Знак"/>
    <w:basedOn w:val="808"/>
    <w:link w:val="1043"/>
    <w:uiPriority w:val="99"/>
    <w:pPr>
      <w:pBdr/>
      <w:spacing/>
      <w:ind/>
    </w:pPr>
    <w:rPr>
      <w:rFonts w:ascii="Times New Roman" w:hAnsi="Times New Roman" w:eastAsia="Batang" w:cs="Times New Roman"/>
      <w:lang w:eastAsia="ru-RU"/>
    </w:rPr>
  </w:style>
  <w:style w:type="character" w:styleId="1045" w:customStyle="1">
    <w:name w:val="apple-converted-space"/>
    <w:basedOn w:val="808"/>
    <w:uiPriority w:val="99"/>
    <w:pPr>
      <w:pBdr/>
      <w:spacing/>
      <w:ind/>
    </w:pPr>
    <w:rPr>
      <w:rFonts w:cs="Times New Roman"/>
    </w:rPr>
  </w:style>
  <w:style w:type="character" w:styleId="1046" w:customStyle="1">
    <w:name w:val="docdata"/>
    <w:basedOn w:val="808"/>
    <w:pPr>
      <w:pBdr/>
      <w:spacing/>
      <w:ind/>
    </w:pPr>
  </w:style>
  <w:style w:type="paragraph" w:styleId="1047" w:customStyle="1">
    <w:name w:val="docy"/>
    <w:basedOn w:val="798"/>
    <w:pPr>
      <w:pBdr/>
      <w:spacing w:after="100" w:afterAutospacing="1" w:before="100" w:beforeAutospacing="1"/>
      <w:ind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Relationship Id="rId18" Type="http://schemas.openxmlformats.org/officeDocument/2006/relationships/customXml" Target="../customXml/item4.xml" /><Relationship Id="rId19" Type="http://schemas.openxmlformats.org/officeDocument/2006/relationships/customXml" Target="../customXml/item5.xml" /><Relationship Id="rId20" Type="http://schemas.openxmlformats.org/officeDocument/2006/relationships/customXml" Target="../customXml/item6.xml" /><Relationship Id="rId21" Type="http://schemas.openxmlformats.org/officeDocument/2006/relationships/customXml" Target="../customXml/item7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A8ED40A-C334-4DF8-9E0A-FADB300E7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5F853-E91A-423F-B4EA-26865B8ED3E9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9E0FBA4F-9D9C-4F63-89A9-C6361DF79995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BA8DAE86-E05C-41B9-83B3-194613EE8C1C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2C816E08-C032-45FB-B4EE-110FFED94FE6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7CFE14CE-0C82-454E-872D-9D0C1DA4E0D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СТАЛЬНИЧЕНКО Юрій Валерійович</cp:lastModifiedBy>
  <cp:revision>100</cp:revision>
  <dcterms:created xsi:type="dcterms:W3CDTF">2021-11-05T12:00:00Z</dcterms:created>
  <dcterms:modified xsi:type="dcterms:W3CDTF">2024-12-22T11:21:22Z</dcterms:modified>
</cp:coreProperties>
</file>