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8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9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812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Додаток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81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 рішення 56 сесії Менської міської ради 8 скликання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81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19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грудня 2024 року № 742 </w:t>
      </w:r>
      <w:r/>
    </w:p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</w:rPr>
        <w:t xml:space="preserve">ПРОГРАМА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val="uk-UA"/>
        </w:rPr>
        <w:t xml:space="preserve">розвитку цивільного захисту Менської місько</w:t>
      </w: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val="uk-UA"/>
        </w:rPr>
        <w:t xml:space="preserve">ї територіальної громади на 2025-2027</w:t>
      </w: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val="uk-UA"/>
        </w:rPr>
        <w:t xml:space="preserve"> роки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tbl>
      <w:tblPr>
        <w:tblW w:w="10312" w:type="dxa"/>
        <w:tblInd w:w="-601" w:type="dxa"/>
        <w:tblBorders/>
        <w:tblLayout w:type="fixed"/>
        <w:tblLook w:val="0000" w:firstRow="0" w:lastRow="0" w:firstColumn="0" w:lastColumn="0" w:noHBand="0" w:noVBand="0"/>
      </w:tblPr>
      <w:tblGrid>
        <w:gridCol w:w="850"/>
        <w:gridCol w:w="567"/>
        <w:gridCol w:w="7903"/>
        <w:gridCol w:w="992"/>
      </w:tblGrid>
      <w:tr>
        <w:trPr>
          <w:trHeight w:val="440"/>
        </w:trPr>
        <w:tc>
          <w:tcPr>
            <w:tcBorders/>
            <w:tcW w:w="850" w:type="dxa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Назва розділу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Стор.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color w:val="000000"/>
                <w:sz w:val="30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Паспорт Програми </w:t>
            </w:r>
            <w:r>
              <w:rPr>
                <w:color w:val="000000" w:themeColor="text1"/>
                <w:sz w:val="28"/>
                <w:lang w:val="uk-UA"/>
              </w:rPr>
              <w:t xml:space="preserve">розвитку цивільного захисту Менської місько</w:t>
            </w:r>
            <w:r>
              <w:rPr>
                <w:color w:val="000000" w:themeColor="text1"/>
                <w:sz w:val="28"/>
                <w:lang w:val="uk-UA"/>
              </w:rPr>
              <w:t xml:space="preserve">ї територіальної громади на 2025-2027</w:t>
            </w:r>
            <w:r>
              <w:rPr>
                <w:color w:val="000000" w:themeColor="text1"/>
                <w:sz w:val="28"/>
                <w:lang w:val="uk-UA"/>
              </w:rPr>
              <w:t xml:space="preserve"> роки</w:t>
            </w:r>
            <w:r>
              <w:rPr>
                <w:color w:val="000000"/>
                <w:sz w:val="30"/>
                <w:szCs w:val="28"/>
              </w:rPr>
            </w:r>
            <w:r>
              <w:rPr>
                <w:color w:val="000000"/>
                <w:sz w:val="30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72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Загальна частина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8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Bdr/>
              <w:spacing w:before="120"/>
              <w:ind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Мета Програми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8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43"/>
              <w:pBdr/>
              <w:tabs>
                <w:tab w:val="left" w:leader="none" w:pos="7367"/>
              </w:tabs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Механізм реалізації і контролю за виконанням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4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43"/>
              <w:pBdr/>
              <w:tabs>
                <w:tab w:val="left" w:leader="none" w:pos="7367"/>
              </w:tabs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Фінансове забезпечення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0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Управління і контроль за реалізацією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Bdr/>
              <w:spacing w:before="120"/>
              <w:ind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Очікувані результати від реалізації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/>
            <w:tcW w:w="1417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both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Додаток: 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7903" w:type="dxa"/>
            <w:textDirection w:val="lrTb"/>
            <w:noWrap/>
          </w:tcPr>
          <w:p>
            <w:pPr>
              <w:pStyle w:val="1043"/>
              <w:pBdr/>
              <w:shd w:val="clear" w:color="ffffff" w:fill="ffffff"/>
              <w:spacing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Напрями діяльності та заходи </w:t>
            </w:r>
            <w:r>
              <w:rPr>
                <w:color w:val="000000" w:themeColor="text1"/>
                <w:sz w:val="28"/>
                <w:lang w:val="uk-UA"/>
              </w:rPr>
              <w:t xml:space="preserve">Програма розвитку цивільного захисту Менської об’єднано</w:t>
            </w:r>
            <w:r>
              <w:rPr>
                <w:color w:val="000000" w:themeColor="text1"/>
                <w:sz w:val="28"/>
                <w:lang w:val="uk-UA"/>
              </w:rPr>
              <w:t xml:space="preserve">ї територіальної громади на 2025-2027</w:t>
            </w:r>
            <w:r>
              <w:rPr>
                <w:color w:val="000000" w:themeColor="text1"/>
                <w:sz w:val="28"/>
                <w:lang w:val="uk-UA"/>
              </w:rPr>
              <w:t xml:space="preserve"> роки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11-21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1043"/>
        <w:numPr>
          <w:ilvl w:val="0"/>
          <w:numId w:val="19"/>
        </w:num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ПАСПОРТ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43"/>
        <w:pBdr/>
        <w:spacing/>
        <w:ind/>
        <w:jc w:val="center"/>
        <w:rPr>
          <w:b/>
          <w:color w:val="000000"/>
          <w:sz w:val="30"/>
          <w:szCs w:val="28"/>
        </w:rPr>
      </w:pPr>
      <w:r>
        <w:rPr>
          <w:b/>
          <w:color w:val="000000" w:themeColor="text1"/>
          <w:sz w:val="28"/>
          <w:lang w:val="uk-UA"/>
        </w:rPr>
        <w:t xml:space="preserve">Програма розвитку цивільного захисту Менської місько</w:t>
      </w:r>
      <w:r>
        <w:rPr>
          <w:b/>
          <w:color w:val="000000" w:themeColor="text1"/>
          <w:sz w:val="28"/>
          <w:lang w:val="uk-UA"/>
        </w:rPr>
        <w:t xml:space="preserve">ї територіальної громади на 2025-2027</w:t>
      </w:r>
      <w:r>
        <w:rPr>
          <w:b/>
          <w:color w:val="000000" w:themeColor="text1"/>
          <w:sz w:val="28"/>
          <w:lang w:val="uk-UA"/>
        </w:rPr>
        <w:t xml:space="preserve"> роки</w:t>
      </w:r>
      <w:r>
        <w:rPr>
          <w:b/>
          <w:color w:val="000000"/>
          <w:sz w:val="30"/>
          <w:szCs w:val="28"/>
        </w:rPr>
      </w:r>
      <w:r>
        <w:rPr>
          <w:b/>
          <w:color w:val="000000"/>
          <w:sz w:val="30"/>
          <w:szCs w:val="28"/>
        </w:rPr>
      </w:r>
    </w:p>
    <w:p>
      <w:pPr>
        <w:pStyle w:val="1043"/>
        <w:pBdr/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9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359"/>
        <w:gridCol w:w="7462"/>
      </w:tblGrid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Назва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lang w:val="uk-UA"/>
              </w:rPr>
              <w:t xml:space="preserve">Програма розвитку цивільного захисту Менської міської</w:t>
            </w:r>
            <w:r>
              <w:rPr>
                <w:color w:val="000000" w:themeColor="text1"/>
                <w:sz w:val="28"/>
                <w:lang w:val="uk-UA"/>
              </w:rPr>
              <w:t xml:space="preserve">  територіальної громади на 2025-2027</w:t>
            </w:r>
            <w:r>
              <w:rPr>
                <w:color w:val="000000" w:themeColor="text1"/>
                <w:sz w:val="28"/>
                <w:lang w:val="uk-UA"/>
              </w:rPr>
              <w:t xml:space="preserve">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Підстава для розроблення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Кодекс Цивільного захисту України від 2 жовтня 2012 року №5403-VI;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«Про захист інформації в інформаційно-телекомунікаційних системах» від 05 липня 1994 року №80/94- ВР.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«Про оборону України» від 06 грудня 1991 року №1932-12.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«Про правовий режим воєнного стану» від 12 травня 2015 року №389-8.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основи національного спротиву» від 16 липня 2021 року №1702-9.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Постанови Кабінету Міністрів України: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6 березня 2002 року № 264 «Про затвердження Порядку обліку місць масового відпочинку населення на водних об’єктах»;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19 серпня 2002 року № 1200 «Про затвердження Порядку забезпечення населення І особового складу невоєнізованих формувань засобами радіаційного та хімічного захисту»;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29 березня 2006 року №373 «Про затвердження Правил забезпечення захисту інформації в інформаційних, телекомунікаційних та інформаційно-телекомунікаційних системах»;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 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27 вересня 2017 року №733 «Про затвердження Положення про організацію оповіщення про загрозу виникнення або виникнення надзвичайних ситуації та зв’язку у сфері цивільного захисту».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Замовники, розробники та виконавці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Сектор оборонної роботи, цивільного захисту населення та роботи з правоохоронними органами  Менської міської ради, Менська міська рада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2859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Мета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Метою прийняття Програми є захист населення і територій від наслідків надзвичайних ситуацій техногенного, природного,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соціального та воєнного характеру, ефективне функціонування територіальної підсистеми Єдиної державної системи цивільного захисту, проведення пошукових, аварійно-рятувальних та інших невідкладних робіт, створення та вдосконалення безпечних умов для корист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ування водними об’єктами, проведення роз’яснювально-пропагандистської роботи серед населення, забезпечення евакуації/вивезення/переміщення цивільного населення із місцевості, де ведуться бойові дії, та небезпечних територій у безпечні місця, зокрема на опл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ату транспортних послуг, пально-мастильних матеріалів, облаштування місць розміщення громадян, які у зв’язку з бойовими діями залишили місце проживання/перебування, оплату інших заходів спрямованих на підтримку цивільного населення в умовах воєнного стану.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Строк виконання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2025-2027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Обсяги та джерела фінансування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Всього за Програмою – 24932</w:t>
            </w:r>
            <w:r>
              <w:rPr>
                <w:sz w:val="28"/>
                <w:szCs w:val="28"/>
                <w:lang w:val="uk-UA"/>
              </w:rPr>
              <w:t xml:space="preserve">,0 тис. гривень, в т.ч.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567"/>
              </w:tabs>
              <w:spacing/>
              <w:ind w:left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2025</w:t>
            </w:r>
            <w:r>
              <w:rPr>
                <w:sz w:val="28"/>
                <w:szCs w:val="28"/>
                <w:lang w:val="uk-UA"/>
              </w:rPr>
              <w:t xml:space="preserve"> рік – 7428,0</w:t>
            </w:r>
            <w:r>
              <w:rPr>
                <w:sz w:val="28"/>
                <w:szCs w:val="28"/>
                <w:lang w:val="uk-UA"/>
              </w:rPr>
              <w:t xml:space="preserve"> тис. грн.;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567"/>
              </w:tabs>
              <w:spacing/>
              <w:ind w:left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2026</w:t>
            </w:r>
            <w:r>
              <w:rPr>
                <w:sz w:val="28"/>
                <w:szCs w:val="28"/>
                <w:lang w:val="uk-UA"/>
              </w:rPr>
              <w:t xml:space="preserve"> рік – 8314</w:t>
            </w:r>
            <w:r>
              <w:rPr>
                <w:sz w:val="28"/>
                <w:szCs w:val="28"/>
                <w:lang w:val="uk-UA"/>
              </w:rPr>
              <w:t xml:space="preserve">,0 тис. грн.;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567"/>
              </w:tabs>
              <w:spacing/>
              <w:ind w:left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2027</w:t>
            </w:r>
            <w:r>
              <w:rPr>
                <w:sz w:val="28"/>
                <w:szCs w:val="28"/>
                <w:lang w:val="uk-UA"/>
              </w:rPr>
              <w:t xml:space="preserve"> рік – 9190</w:t>
            </w:r>
            <w:r>
              <w:rPr>
                <w:sz w:val="28"/>
                <w:szCs w:val="28"/>
                <w:lang w:val="uk-UA"/>
              </w:rPr>
              <w:t xml:space="preserve">, 0тис. грн..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Очікувані результати виконання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tabs>
                <w:tab w:val="left" w:leader="none" w:pos="7367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Виконання Програми дасть змогу: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3"/>
              </w:numPr>
              <w:pBdr/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поповнити і використовувати місцевий матеріальний резерв для запобігання, ліквідації надзвичайних ситуацій техногенного, природного, соціального та воєнного характеру та їх наслідків;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об’єктів у разі виникнення аварій;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організації робіт із запобігання виникненню пожеж та їх гасіння на об’єктах і території населених пунктів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підвищення оперативності у ліквідації наслідків можливих пожеж та інших надзвичайних ситуацій;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вжиття заходів щодо створення добровільних пожежних дружин (команд) та їх матеріальної та фінансової підтримки;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охорони здоров'я і життя людей, збереження матеріальних цінностей на території населених пунктів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здійснити накопичення засобів індивідуального захисту органів дихання від бойових отруйних і хімічних речовин для забезпечення непрацюючого населення.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евакуації/вивезення/переміщення цивільного населення із місцевості, де ведуться бойові дії, та небезпечних територій у безпечні місця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надання транспортних послуг, пально-мастильним матеріалами, облаштування місць розміщення громадян, які у зв’язку з бойовими діями залишили місце проживання/перебування, та інші заходи спрямовані на підтримку цивільного населення в умовах воєнного стану;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організації та функціонування пунктів незламності визначених на території Менської міської територіальної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удосконалення системи оповіщення цивільного населення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Контроль за виконанням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1043"/>
        <w:pBdr/>
        <w:tabs>
          <w:tab w:val="left" w:leader="none" w:pos="7367"/>
        </w:tabs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 w:before="113" w:beforeAutospacing="0"/>
        <w:ind/>
        <w:jc w:val="center"/>
        <w:rPr>
          <w:b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br w:type="page" w:clear="all"/>
      </w:r>
      <w:r>
        <w:rPr>
          <w:b/>
          <w:color w:val="000000" w:themeColor="text1"/>
          <w:sz w:val="28"/>
          <w:szCs w:val="28"/>
          <w:lang w:val="uk-UA"/>
        </w:rPr>
        <w:t xml:space="preserve">2. ЗАГАЛЬНА ЧАСТИНА ТА ВИЗНАЧЕННЯ ПРОБЛЕМАТИКИ ВИКОНАННЯ ПРОГРАМИ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Програма розвитку цивільного захисту Менської об’єднано</w:t>
      </w:r>
      <w:r>
        <w:rPr>
          <w:color w:val="000000" w:themeColor="text1"/>
          <w:sz w:val="28"/>
          <w:szCs w:val="28"/>
          <w:lang w:val="uk-UA"/>
        </w:rPr>
        <w:t xml:space="preserve">ї територіальної громади на 2025-2027</w:t>
      </w:r>
      <w:r>
        <w:rPr>
          <w:color w:val="000000" w:themeColor="text1"/>
          <w:sz w:val="28"/>
          <w:szCs w:val="28"/>
          <w:lang w:val="uk-UA"/>
        </w:rPr>
        <w:t xml:space="preserve"> роки(далі – Програма) розроблена на виконання Кодексу цивільного захисту України від 02.10.2012 №5403-VI, Закону Укр</w:t>
      </w:r>
      <w:r>
        <w:rPr>
          <w:color w:val="000000" w:themeColor="text1"/>
          <w:sz w:val="28"/>
          <w:szCs w:val="28"/>
          <w:lang w:val="uk-UA"/>
        </w:rPr>
        <w:t xml:space="preserve">аїни «Про захист Інформації в інформаційно-телекомунікаційних системах» від 05.07.1994 №80/94-ВР, Закону України «Про оборону України» від 06.12.1991 р. №1932-12, Закону України «Про правовий режим воєнного стану» від 12.05.2015 р. №389-8, Закону України «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основи національного спротиву» від 16.07.2021 р. №1702-9, </w:t>
      </w:r>
      <w:r>
        <w:rPr>
          <w:color w:val="000000" w:themeColor="text1"/>
          <w:sz w:val="28"/>
          <w:szCs w:val="28"/>
          <w:lang w:val="uk-UA"/>
        </w:rPr>
        <w:t xml:space="preserve"> постанов Кабінету Міністрів України від 30.09.2015 №755 «Про затвердження Порядку</w:t>
      </w:r>
      <w:r>
        <w:rPr>
          <w:color w:val="000000" w:themeColor="text1"/>
          <w:sz w:val="28"/>
          <w:szCs w:val="28"/>
          <w:lang w:val="uk-UA"/>
        </w:rPr>
        <w:t xml:space="preserve"> створення та використання матеріальних резервів для запобігання і ліквідації наслідків надзвичайних ситуацій», від 27.09.2017 №733 «Про затвердження Положення про організацію оповіщення про загрозу виникнення або виникнення надзвичайних ситуації та зв’язк</w:t>
      </w:r>
      <w:r>
        <w:rPr>
          <w:color w:val="000000" w:themeColor="text1"/>
          <w:sz w:val="28"/>
          <w:szCs w:val="28"/>
          <w:lang w:val="uk-UA"/>
        </w:rPr>
        <w:t xml:space="preserve">у у сфері цивільного захисту», від 19.08.2002 № 1200 «Про затвердження Порядку забезпечення населення і особового складу невоєнізованих формувань засобами радіаційного та хімічного захисту» (із змінами), від 6.03.2002 № 264 «Про затвердження Порядку обліку</w:t>
      </w:r>
      <w:r>
        <w:rPr>
          <w:color w:val="000000" w:themeColor="text1"/>
          <w:sz w:val="28"/>
          <w:szCs w:val="28"/>
          <w:lang w:val="uk-UA"/>
        </w:rPr>
        <w:t xml:space="preserve"> місць масового відпочинку населення на водних об’єктах», «Про затвердження Правил охорони життя людей на водних об’єктах України» (із змінами), затверджених наказом МВС України від 10.04.2017 №301 і зареєстрованих в Мін’юсті від 04.05.2017 за № 566/30434.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Програма направлена на запобігання, ліквідації наслідків надзвичайних ситуацій техногенного, природного, соціального та воєнного характеру з метою екстреного використання його у разі вин</w:t>
      </w:r>
      <w:r>
        <w:rPr>
          <w:color w:val="000000" w:themeColor="text1"/>
          <w:sz w:val="28"/>
          <w:szCs w:val="28"/>
          <w:lang w:val="uk-UA"/>
        </w:rPr>
        <w:t xml:space="preserve">икнення надзвичайних ситуацій, удосконалення системи реагування на надзвичайні ситуації, проведення роз’яснювально-пропагандистської роботи серед населення, а також організації робіт із запобігання виникненню пожеж та їх гасіння на об’єктах і території нас</w:t>
      </w:r>
      <w:r>
        <w:rPr>
          <w:color w:val="000000" w:themeColor="text1"/>
          <w:sz w:val="28"/>
          <w:szCs w:val="28"/>
          <w:lang w:val="uk-UA"/>
        </w:rPr>
        <w:t xml:space="preserve">елених пунктів громади, підвищення оперативності у ліквідації наслідків можливих пожеж та інших надзвичайних ситуацій, вжиття заходів щодо створення добровільних пожежних дружин (команд) та їх матеріальної та фінансової підтримки, забезпечення охорони здор</w:t>
      </w:r>
      <w:r>
        <w:rPr>
          <w:color w:val="000000" w:themeColor="text1"/>
          <w:sz w:val="28"/>
          <w:szCs w:val="28"/>
          <w:lang w:val="uk-UA"/>
        </w:rPr>
        <w:t xml:space="preserve">ов’я і життя людей, збереження матеріальних цінностей на території населених пунктів громади, забезпечення евакуації/вивезення/переміщення цивільного населення із місцевості, де ведуться бойові дії, та небезпечних територій у безпечні місця, зокрема на опл</w:t>
      </w:r>
      <w:r>
        <w:rPr>
          <w:color w:val="000000" w:themeColor="text1"/>
          <w:sz w:val="28"/>
          <w:szCs w:val="28"/>
          <w:lang w:val="uk-UA"/>
        </w:rPr>
        <w:t xml:space="preserve">ату транспортних послуг, пально-мастильних матеріалів, облаштування місць розміщення громадян, які у зв’язку з бойовими діями залишили місце проживання/перебування, оплату інших заходів спрямованих на підтримку цивільного населення в умовах воєнного стану.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 w:themeColor="text1"/>
          <w:sz w:val="28"/>
          <w:szCs w:val="28"/>
          <w:highlight w:val="none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Прийняття участі в ініціативі «Вдосконалення системи цивільного захисту в об’єднаних громадах України», яка виконується Асоціацією добровільних пожежних команд Республіки Польща за підтримки Прогрими «U-LEAD з Європою , підтримує об’єднані</w:t>
      </w:r>
      <w:r>
        <w:rPr>
          <w:color w:val="000000" w:themeColor="text1"/>
          <w:sz w:val="28"/>
          <w:szCs w:val="28"/>
          <w:lang w:val="uk-UA"/>
        </w:rPr>
        <w:t xml:space="preserve"> територіальні програми у процесі розвитку управління кризовими ситуаціями на місцевому рівні та створенні планів заходів у сфері цивільного захисту з особливим акцентом на створення добровільних пожежних команд, які доповнюють професійні пожежні частини. </w:t>
      </w:r>
      <w:r>
        <w:rPr>
          <w:color w:val="000000" w:themeColor="text1"/>
          <w:sz w:val="28"/>
          <w:szCs w:val="28"/>
          <w:lang w:val="uk-UA"/>
        </w:rPr>
        <w:t xml:space="preserve">Проект також сприяє зміцненню потенціалу об’єднаної громади  та активізацію населення.</w:t>
      </w:r>
      <w:r>
        <w:rPr>
          <w:color w:val="000000" w:themeColor="text1"/>
          <w:sz w:val="28"/>
          <w:szCs w:val="28"/>
          <w:highlight w:val="none"/>
          <w:lang w:val="uk-UA"/>
        </w:rPr>
      </w:r>
      <w:r>
        <w:rPr>
          <w:color w:val="000000" w:themeColor="text1"/>
          <w:sz w:val="28"/>
          <w:szCs w:val="28"/>
          <w:highlight w:val="none"/>
          <w:lang w:val="uk-UA"/>
        </w:rPr>
      </w:r>
    </w:p>
    <w:p>
      <w:pPr>
        <w:pStyle w:val="1043"/>
        <w:pBdr/>
        <w:tabs>
          <w:tab w:val="left" w:leader="none" w:pos="7367"/>
        </w:tabs>
        <w:spacing w:before="113" w:beforeAutospacing="0"/>
        <w:ind/>
        <w:jc w:val="center"/>
        <w:rPr>
          <w:b/>
          <w:color w:val="000000"/>
          <w:sz w:val="28"/>
          <w:szCs w:val="28"/>
        </w:rPr>
      </w:pPr>
      <w:r/>
      <w:bookmarkStart w:id="1" w:name="78"/>
      <w:r/>
      <w:bookmarkEnd w:id="1"/>
      <w:r>
        <w:rPr>
          <w:b/>
          <w:color w:val="000000" w:themeColor="text1"/>
          <w:sz w:val="28"/>
          <w:szCs w:val="28"/>
          <w:lang w:val="uk-UA"/>
        </w:rPr>
        <w:t xml:space="preserve">3. </w:t>
      </w: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  <w:t xml:space="preserve">МЕТА ПРОГРАМИ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 w:themeColor="text1"/>
          <w:sz w:val="28"/>
          <w:szCs w:val="28"/>
          <w:highlight w:val="none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Метою прийняття Програми є захист населення і територій від наслідків надзвичайних ситуацій техногенного, природного, соціального та воєнного характеру, ефективне функціонування територіальної підсистеми Єдиної </w:t>
      </w:r>
      <w:r>
        <w:rPr>
          <w:color w:val="000000" w:themeColor="text1"/>
          <w:sz w:val="28"/>
          <w:szCs w:val="28"/>
          <w:lang w:val="uk-UA"/>
        </w:rPr>
        <w:t xml:space="preserve">державної системи цивільного захисту, проведення пошукових, аварійно-рятувальних та інших невідкладних робіт, створення та вдосконалення безпечних умов для користування водними об’єктами, проведення роз’яснювально-пропагандистської роботи серед населення. </w:t>
      </w:r>
      <w:r>
        <w:rPr>
          <w:color w:val="000000" w:themeColor="text1"/>
          <w:sz w:val="28"/>
          <w:szCs w:val="28"/>
          <w:highlight w:val="none"/>
          <w:lang w:val="uk-UA"/>
        </w:rPr>
      </w:r>
      <w:r>
        <w:rPr>
          <w:color w:val="000000" w:themeColor="text1"/>
          <w:sz w:val="28"/>
          <w:szCs w:val="28"/>
          <w:highlight w:val="none"/>
          <w:lang w:val="uk-UA"/>
        </w:rPr>
      </w:r>
    </w:p>
    <w:p>
      <w:pPr>
        <w:pStyle w:val="1043"/>
        <w:pBdr/>
        <w:tabs>
          <w:tab w:val="left" w:leader="none" w:pos="7367"/>
        </w:tabs>
        <w:spacing w:before="113" w:beforeAutospacing="0"/>
        <w:ind/>
        <w:jc w:val="center"/>
        <w:rPr>
          <w:b/>
          <w:bCs/>
          <w:color w:val="000000" w:themeColor="text1"/>
          <w:sz w:val="28"/>
          <w:szCs w:val="28"/>
          <w:highlight w:val="none"/>
          <w:lang w:val="uk-UA"/>
        </w:rPr>
      </w:pPr>
      <w:r>
        <w:rPr>
          <w:b/>
          <w:bCs/>
          <w:color w:val="000000" w:themeColor="text1"/>
          <w:sz w:val="28"/>
          <w:szCs w:val="28"/>
          <w:highlight w:val="none"/>
          <w:lang w:val="uk-UA"/>
        </w:rPr>
        <w:t xml:space="preserve">4.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ЗАВДАННЯ </w:t>
      </w:r>
      <w:r>
        <w:rPr>
          <w:b/>
          <w:bCs/>
          <w:color w:val="000000" w:themeColor="text1"/>
          <w:sz w:val="28"/>
          <w:szCs w:val="28"/>
          <w:highlight w:val="none"/>
          <w:lang w:val="uk-UA"/>
        </w:rPr>
        <w:t xml:space="preserve">ПРОГРАМИ</w:t>
      </w:r>
      <w:r>
        <w:rPr>
          <w:b/>
          <w:bCs/>
          <w:color w:val="000000" w:themeColor="text1"/>
          <w:sz w:val="28"/>
          <w:szCs w:val="28"/>
          <w:highlight w:val="none"/>
          <w:lang w:val="uk-UA"/>
        </w:rPr>
      </w:r>
      <w:r>
        <w:rPr>
          <w:b/>
          <w:bCs/>
          <w:color w:val="000000" w:themeColor="text1"/>
          <w:sz w:val="28"/>
          <w:szCs w:val="28"/>
          <w:highlight w:val="none"/>
          <w:lang w:val="uk-UA"/>
        </w:rPr>
      </w:r>
    </w:p>
    <w:p>
      <w:pPr>
        <w:pStyle w:val="1043"/>
        <w:pBdr/>
        <w:tabs>
          <w:tab w:val="left" w:leader="none" w:pos="7367"/>
        </w:tabs>
        <w:spacing/>
        <w:ind w:firstLine="72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Основними завданнями Програми є: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-</w:t>
      </w:r>
      <w:r>
        <w:rPr>
          <w:bCs/>
          <w:color w:val="000000" w:themeColor="text1"/>
          <w:sz w:val="28"/>
          <w:szCs w:val="28"/>
          <w:lang w:val="uk-UA"/>
        </w:rPr>
        <w:tab/>
        <w:t xml:space="preserve">створення та поповнення місцевого матеріального резерву;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удосконалення системи реагування на надзвичайні ситуації;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здійснення організаційних та спеціальних заходів щодо запобігання виникненню надзвичайних ситуацій;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створення добровільних пожежних дружин (команд) та їх матеріальна та фінансова підтримка;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завершення формування структури КУ «Місцева пожежна охорона» та її матеріальне та фінансове забезпечення;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оновлення та/або встановлення пожежних сигналізацій;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проведення інформаційно-роз’яснювальної</w:t>
      </w:r>
      <w:r>
        <w:rPr>
          <w:bCs/>
          <w:color w:val="000000" w:themeColor="text1"/>
          <w:sz w:val="28"/>
          <w:szCs w:val="28"/>
          <w:lang w:val="uk-UA"/>
        </w:rPr>
        <w:t xml:space="preserve"> роботи серед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bCs/>
          <w:color w:val="000000" w:themeColor="text1"/>
          <w:sz w:val="28"/>
          <w:szCs w:val="28"/>
          <w:lang w:val="uk-UA"/>
        </w:rPr>
        <w:tab/>
        <w:t xml:space="preserve">удосконалення систем оповіщення цивільного 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 w:themeColor="text1"/>
          <w:sz w:val="28"/>
          <w:szCs w:val="28"/>
          <w:highlight w:val="none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-</w:t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забезпечення за необхідності евакуації/вивезення/переміщення цивільного населення із місцевості, де ведуться бойові дії, та небезпечних територій у безпечні місця;</w:t>
      </w:r>
      <w:r>
        <w:rPr>
          <w:color w:val="000000" w:themeColor="text1"/>
          <w:sz w:val="28"/>
          <w:szCs w:val="28"/>
          <w:highlight w:val="none"/>
          <w:lang w:val="uk-UA"/>
        </w:rPr>
      </w:r>
      <w:r>
        <w:rPr>
          <w:color w:val="000000" w:themeColor="text1"/>
          <w:sz w:val="28"/>
          <w:szCs w:val="28"/>
          <w:highlight w:val="none"/>
          <w:lang w:val="uk-UA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 w:firstLine="0" w:left="0"/>
        <w:jc w:val="both"/>
        <w:rPr>
          <w:color w:val="000000" w:themeColor="text1"/>
          <w:sz w:val="28"/>
          <w:szCs w:val="28"/>
          <w:highlight w:val="none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-забезпечення організації та функціонування пунктів незламності визначених на території Менської міської територіальної громади;</w:t>
      </w:r>
      <w:r>
        <w:rPr>
          <w:color w:val="000000" w:themeColor="text1"/>
          <w:sz w:val="28"/>
          <w:szCs w:val="28"/>
          <w:highlight w:val="none"/>
          <w:lang w:val="uk-UA"/>
        </w:rPr>
      </w:r>
      <w:r>
        <w:rPr>
          <w:color w:val="000000" w:themeColor="text1"/>
          <w:sz w:val="28"/>
          <w:szCs w:val="28"/>
          <w:highlight w:val="none"/>
          <w:lang w:val="uk-UA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  <w:lang w:val="uk-UA"/>
        </w:rPr>
        <w:t xml:space="preserve">-забезпечення облаштування та функціонування “Центру безпеки та соціальної згуртованості” Менської міської ради.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 w:before="113" w:beforeAutospacing="0"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highlight w:val="none"/>
          <w:lang w:val="uk-UA"/>
        </w:rPr>
        <w:t xml:space="preserve">5. </w:t>
      </w:r>
      <w:r>
        <w:rPr>
          <w:b/>
          <w:bCs/>
          <w:color w:val="000000" w:themeColor="text1"/>
          <w:sz w:val="28"/>
          <w:szCs w:val="28"/>
          <w:highlight w:val="none"/>
          <w:lang w:val="uk-UA"/>
        </w:rPr>
        <w:t xml:space="preserve">ЗАХОДИ </w:t>
      </w:r>
      <w:r>
        <w:rPr>
          <w:b/>
          <w:bCs/>
          <w:color w:val="000000" w:themeColor="text1"/>
          <w:sz w:val="28"/>
          <w:szCs w:val="28"/>
          <w:highlight w:val="none"/>
          <w:lang w:val="uk-UA"/>
        </w:rPr>
        <w:t xml:space="preserve">РЕАЛІЗАЦІЇ ПРОГРАМИ.</w:t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 прийняттям Програми буде здійснено: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організація проведення навчання членів </w:t>
      </w:r>
      <w:bookmarkStart w:id="0" w:name="_Hlk11317996"/>
      <w:r>
        <w:rPr>
          <w:color w:val="000000" w:themeColor="text1"/>
          <w:sz w:val="28"/>
          <w:szCs w:val="28"/>
          <w:lang w:val="uk-UA"/>
        </w:rPr>
        <w:t xml:space="preserve">добровільних пожежних команд</w:t>
      </w:r>
      <w:bookmarkEnd w:id="0"/>
      <w:r>
        <w:rPr>
          <w:color w:val="000000" w:themeColor="text1"/>
          <w:sz w:val="28"/>
          <w:szCs w:val="28"/>
          <w:lang w:val="uk-UA"/>
        </w:rPr>
        <w:t xml:space="preserve"> (далі – ДПК), засновником яких є Менська міська рада або КУ “Місцева пожежна охорона” Менської міської ради Менського району Чернігівської області (далі - МПО);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членів ДПК засобами індивідуального захисту (далі – ЗІЗ);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обов’язкове особисте страхування членів добровільних пожежних команд;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добровільних пожежних команд та працівників КУ «Місцева пожежна охорона” спецодягом, інвентарем, приміщенням, спецтехнікою та іншими необхідними матеріалами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придбання будівельних матеріалів, необхідних для надання термінової допомоги постраждалому населенню для ремонту будівель та споруд у зонах масштабних надзвичайних ситуацій;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придбання пального для оперативного забезпечення підрозділів оперативно-рятувальної служби цивільного захисту, авар</w:t>
      </w:r>
      <w:r>
        <w:rPr>
          <w:color w:val="000000" w:themeColor="text1"/>
          <w:sz w:val="28"/>
          <w:szCs w:val="28"/>
          <w:lang w:val="uk-UA"/>
        </w:rPr>
        <w:t xml:space="preserve">ійно-рятувальних формувань, державних і комунальних служб, залучених до локалізації та ліквідації надзвичайних ситуацій (повені, руйнівні наслідки несприятливих гідрометеорологічних умов, руйнування житлових та виробничих будівель і споруд, пожежі та ін.);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придбання облад</w:t>
      </w:r>
      <w:r>
        <w:rPr>
          <w:color w:val="000000" w:themeColor="text1"/>
          <w:sz w:val="28"/>
          <w:szCs w:val="28"/>
          <w:lang w:val="uk-UA"/>
        </w:rPr>
        <w:t xml:space="preserve">нання для надання термінової допомоги населенню, першочергового життєзабезпечення постраждалого населення в зонах надзвичайних ситуацій та осіб, які залучаються для ліквідації надзвичайних ситуацій та здійснення рятувальних, аварійно-відновлювальних робіт;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непрацюючого населення засобами радіаційного та хімічного захисту;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обстеження і очищення дна акваторій пляжів водолазами, паспортизація пляжів;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облаштування місць, заборонених для купання, відповідними попереджувальними знаками;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матеріальною допомогою членів добровільних пожежних команд;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встановлення в на об’єктах комунальної власності пожежної сигналізації та закупівля/оновлення засобів колективного та індивідуального захисту.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 xml:space="preserve">придбання та встановлення(монтаж) систем оповіщення цивільного 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 w:themeColor="text1"/>
          <w:sz w:val="28"/>
          <w:szCs w:val="28"/>
          <w:highlight w:val="none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-забезпечено за необхідності евакуацію/вивезення/переміщення цивільного населення із місцевості, де ведуться бойові дії, та небезпечних територій у безпечні місця;</w:t>
      </w:r>
      <w:r>
        <w:rPr>
          <w:color w:val="000000" w:themeColor="text1"/>
          <w:sz w:val="28"/>
          <w:szCs w:val="28"/>
          <w:highlight w:val="none"/>
          <w:lang w:val="uk-UA"/>
        </w:rPr>
      </w:r>
      <w:r>
        <w:rPr>
          <w:color w:val="000000" w:themeColor="text1"/>
          <w:sz w:val="28"/>
          <w:szCs w:val="28"/>
          <w:highlight w:val="none"/>
          <w:lang w:val="uk-UA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  <w:lang w:val="uk-UA"/>
        </w:rPr>
        <w:t xml:space="preserve">-забезпечення ефективної роботи “Центру безпеки і соціальної згуртованості” Менської міської ради”.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 w:before="113" w:beforeAutospacing="0"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6. </w:t>
      </w:r>
      <w:r>
        <w:rPr>
          <w:b/>
          <w:bCs/>
          <w:color w:val="000000" w:themeColor="text1"/>
          <w:sz w:val="28"/>
          <w:szCs w:val="28"/>
          <w:highlight w:val="none"/>
          <w:lang w:val="uk-UA"/>
        </w:rPr>
        <w:t xml:space="preserve">ФІНАНСОВЕ </w:t>
      </w:r>
      <w:r>
        <w:rPr>
          <w:b/>
          <w:color w:val="000000" w:themeColor="text1"/>
          <w:sz w:val="28"/>
          <w:szCs w:val="28"/>
          <w:lang w:val="uk-UA"/>
        </w:rPr>
        <w:t xml:space="preserve">ЗАБЕЗПЕЧЕННЯ ПРОГРАМИ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Фінансування Прогр</w:t>
      </w:r>
      <w:r>
        <w:rPr>
          <w:color w:val="000000" w:themeColor="text1"/>
          <w:sz w:val="28"/>
          <w:szCs w:val="28"/>
          <w:lang w:val="uk-UA"/>
        </w:rPr>
        <w:t xml:space="preserve">ами здійснюється за рахунок коштів бюджету Менської міської територіальної громади та інших джерел, не заборонених законодавством та здійснюється в межах видатків, затверджених на відповідний рік за відповідним напрямком, виходячи з фінансових можливостей.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Фінансування Програми може здійснюватися шляхом перерахування субвенції з місцевого бюджету до державного бюджету.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43"/>
        <w:pBdr/>
        <w:tabs>
          <w:tab w:val="left" w:leader="none" w:pos="7367"/>
        </w:tabs>
        <w:spacing w:before="113" w:beforeAutospacing="0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7. ОЧІКУВАНІ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val="uk-UA"/>
        </w:rPr>
        <w:t xml:space="preserve">РЕЗУЛЬТАТИ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ВІД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val="uk-UA"/>
        </w:rPr>
        <w:t xml:space="preserve"> РЕАЛІЗАЦІЇ ПРОГРАМИ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43"/>
        <w:pBdr/>
        <w:tabs>
          <w:tab w:val="left" w:leader="none" w:pos="7367"/>
        </w:tabs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Виконання Програми дасть змогу: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поповнити і використовувати місцевий матеріальний резерв для запобігання, ліквідації надзвичайних ситуацій техногенного, природного, соціального та воєнного характеру та їх наслідків;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створити достатню кількість добровільних пожежних дружин (команд);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завершити формування структури КУ «Місцева пожежна охорона»;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провести оновлення засобів індивідуального захисту, спецодягу;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провести ремонти спецтехніки та приміщень;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створити належні та безпечні умови в приміщеннях комунальної власності для працівників та їх відвідувачів;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об’єктів у разі виникнення аварій;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здійснити накопичення засобів індивідуального захисту органів дихання від бойових отруйних і хімічних речовин для забезпечення непрацюючого населення.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придбати та встановити системи оповіщення цивільного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забезпечити за необхідності евакуацію/вивезення/переміщення цивільного населення із місцевості, де ведуться бойові дії, та небезпечних територій у безпечні місця.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 w:before="113" w:beforeAutospacing="0"/>
        <w:ind/>
        <w:jc w:val="center"/>
        <w:rPr>
          <w:b/>
          <w:bCs/>
          <w:color w:val="000000" w:themeColor="text1"/>
          <w:sz w:val="28"/>
          <w:szCs w:val="28"/>
          <w:highlight w:val="none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8. УПРАВЛІННЯ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  <w:r>
        <w:rPr>
          <w:b/>
          <w:color w:val="000000" w:themeColor="text1"/>
          <w:sz w:val="28"/>
          <w:szCs w:val="28"/>
          <w:lang w:val="uk-UA"/>
        </w:rPr>
        <w:t xml:space="preserve">І КОНТРОЛЬ ЗА РЕАЛІЗАЦІЄЮ ПРОГРАМИ</w:t>
      </w:r>
      <w:r>
        <w:rPr>
          <w:b/>
          <w:bCs/>
          <w:color w:val="000000" w:themeColor="text1"/>
          <w:sz w:val="28"/>
          <w:szCs w:val="28"/>
          <w:highlight w:val="none"/>
          <w:lang w:val="uk-UA"/>
        </w:rPr>
      </w:r>
      <w:r>
        <w:rPr>
          <w:b/>
          <w:bCs/>
          <w:color w:val="000000" w:themeColor="text1"/>
          <w:sz w:val="28"/>
          <w:szCs w:val="28"/>
          <w:highlight w:val="none"/>
          <w:lang w:val="uk-UA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Сектором оборонної роботи, цивільного захисту населення та роботи з правоохоронними органами Менської міськ</w:t>
      </w:r>
      <w:r>
        <w:rPr>
          <w:color w:val="000000" w:themeColor="text1"/>
          <w:sz w:val="28"/>
          <w:szCs w:val="28"/>
          <w:lang w:val="uk-UA"/>
        </w:rPr>
        <w:t xml:space="preserve">ої ради визначені ймовірні надзвичайні ситуації, що можуть виникнути на  території населених пунктів Менської міської територіальної громади та відпрацьовані відповідні Плани реагування територіальної підсистеми Єдиної державної системи цивільного захисту.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Організаційне забезпечення виконання заходів з реалізації Програми здійснює сектор оборонної роботи, цивільного захисту населення та роботи з правоохоронними органами Менської міської ради.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Виконання цих завдань покладається на сектор оборонної роботи, цивільного захисту населення</w:t>
      </w:r>
      <w:r>
        <w:rPr>
          <w:bCs/>
          <w:color w:val="000000" w:themeColor="text1"/>
          <w:sz w:val="28"/>
          <w:szCs w:val="28"/>
          <w:lang w:val="uk-UA"/>
        </w:rPr>
        <w:t xml:space="preserve"> та роботи з правоохоронними органами  Менської міської ради, Корюківський районний відділ Головного управління ДСНС в Чернігівській області, 24 ДПРЧ (м. Борзна) 4 ДПРЗ ГУ ДСНС України у Чернігівській області та керівників потенційно небезпечних об’єктів.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Заступник міського голови з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питань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7087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діяльності виконавчих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органів ради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  <w:t xml:space="preserve">   Сергій ГАЄВОЙ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/>
        <w:ind/>
        <w:jc w:val="both"/>
        <w:rPr>
          <w:color w:val="000000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first" r:id="rId12"/>
          <w:footnotePr/>
          <w:endnotePr/>
          <w:type w:val="nextPage"/>
          <w:pgSz w:h="16838" w:orient="portrait" w:w="11906"/>
          <w:pgMar w:top="1134" w:right="567" w:bottom="1134" w:left="1701" w:header="283" w:footer="709" w:gutter="0"/>
          <w:cols w:num="1" w:sep="0" w:space="708" w:equalWidth="1"/>
          <w:titlePg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10065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Додаток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spacing/>
        <w:ind w:left="10065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 Програми розвитку цивільного захисту Менської місько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ї територіальної громади на 2025-2027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роки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1043"/>
        <w:pBdr/>
        <w:shd w:val="clear" w:color="ffffff" w:fill="ffffff"/>
        <w:spacing/>
        <w:ind w:right="12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Напрями діяльності та заходи</w:t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43"/>
        <w:pBdr/>
        <w:shd w:val="clear" w:color="ffffff" w:fill="ffffff"/>
        <w:spacing/>
        <w:ind w:right="12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 w:themeColor="text1"/>
          <w:lang w:val="uk-UA"/>
        </w:rPr>
        <w:t xml:space="preserve">Програма розвитку цивільного захисту Менської місько</w:t>
      </w:r>
      <w:r>
        <w:rPr>
          <w:b/>
          <w:color w:val="000000" w:themeColor="text1"/>
          <w:lang w:val="uk-UA"/>
        </w:rPr>
        <w:t xml:space="preserve">ї територіальної громади на 2025-2027</w:t>
      </w:r>
      <w:r>
        <w:rPr>
          <w:b/>
          <w:color w:val="000000" w:themeColor="text1"/>
          <w:lang w:val="uk-UA"/>
        </w:rPr>
        <w:t xml:space="preserve"> роки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16092" w:type="dxa"/>
        <w:tblInd w:w="-5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2237"/>
        <w:gridCol w:w="2659"/>
        <w:gridCol w:w="850"/>
        <w:gridCol w:w="2659"/>
        <w:gridCol w:w="1736"/>
        <w:gridCol w:w="881"/>
        <w:gridCol w:w="881"/>
        <w:gridCol w:w="881"/>
        <w:gridCol w:w="2851"/>
      </w:tblGrid>
      <w:tr>
        <w:trPr>
          <w:cantSplit/>
          <w:trHeight w:val="184"/>
          <w:tblHeader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№ з/п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Назва напряму діяльності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Перелік заходів програми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Строк виконання заходів, рік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Виконавці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Джерела фінансування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Орієнтовна вартість на 2025</w:t>
            </w: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 рік, тис грн.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Орієнтовна вартість на 2026</w:t>
            </w: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 рік, тис грн.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Орієнтовна вартість на 2027</w:t>
            </w: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 рік, тис грн.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Очікуваний результат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Організація проведення навчання членів добровільних пожежних команд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1.1. Відрядження на навчання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Обов’язкове особисте страхування членів добровільних пожежних дружин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hd w:val="clear" w:color="ffffff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1.2. Договори страхування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15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2</w:t>
            </w:r>
            <w:r>
              <w:rPr>
                <w:color w:val="000000" w:themeColor="text1"/>
                <w:lang w:val="uk-UA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2</w:t>
            </w:r>
            <w:r>
              <w:rPr>
                <w:color w:val="000000" w:themeColor="text1"/>
                <w:lang w:val="uk-UA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vMerge w:val="restart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Створення та поповнення місцевого матеріального резерву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3.1. Придбання пально-мастильних матеріалів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</w:t>
            </w:r>
            <w:r>
              <w:rPr>
                <w:bCs/>
                <w:color w:val="000000" w:themeColor="text1"/>
                <w:lang w:val="uk-UA"/>
              </w:rPr>
              <w:t xml:space="preserve">,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затратами. 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Покращити матеріально-технічне оснащення.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numPr>
                <w:ilvl w:val="0"/>
                <w:numId w:val="13"/>
              </w:numPr>
              <w:pBdr/>
              <w:spacing/>
              <w:ind w:firstLine="0" w:left="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237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3.2. Придбання засобів для  запобігання і ліквідації наслідків надзвичайних ситуацій та небезпечних подій</w:t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3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Удосконалення системи реагування на надзвичайні ситуації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hd w:val="clear" w:color="ffffff" w:fill="ffffff"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4.1. Забезпечення промисловими засобами захисту органів дихання від небезпечних хімічних речовин непрацюючого населення, яке проживає в прогнозованій зоні хімічного забруднення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3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непрацюючого населення під час виникнення надзвичайних ситуацій на хімічно небезпечних об’єктах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3212"/>
        </w:trPr>
        <w:tc>
          <w:tcPr>
            <w:tcBorders/>
            <w:tcW w:w="457" w:type="dxa"/>
            <w:vMerge w:val="restart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Здійснення організаційних та спеціальних заходів щодо запобігання виникненню надзвичайних ситуацій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hd w:val="clear" w:color="ffffff" w:fill="ffffff"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5.1. Створення локальних систем виявлення загрози виникнення надзвичайних ситуацій на об’єктах підвищеної небезпек 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РВ ГУ ДСНС у Чернігівській області, керівники об’єктів підвищеної небезпеки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об’єктів ПНО</w:t>
            </w:r>
            <w:r>
              <w:rPr>
                <w:bCs/>
                <w:color w:val="000000" w:themeColor="text1"/>
                <w:lang w:val="uk-UA"/>
              </w:rPr>
              <w:t xml:space="preserve">,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населення від небезпечних факторів техногенного характеру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numPr>
                <w:ilvl w:val="0"/>
                <w:numId w:val="13"/>
              </w:numPr>
              <w:pBdr/>
              <w:spacing/>
              <w:ind w:firstLine="0" w:left="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237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hd w:val="clear" w:color="ffffff" w:fill="ffffff"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5.2. Р</w:t>
            </w: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озроблення документів, необхідних для проведення аварійно-рятувальних та інших невідкладних робіт на ПНО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РВ ГУ ДСНС у Чернігівській області, керівники об’єктів підвищеної небезпеки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об’єктів ПНО</w:t>
            </w:r>
            <w:r>
              <w:rPr>
                <w:bCs/>
                <w:color w:val="000000" w:themeColor="text1"/>
                <w:lang w:val="uk-UA"/>
              </w:rPr>
              <w:t xml:space="preserve">, інші незаборонені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Оперативне реагування на надзвичайні ситуації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numPr>
                <w:ilvl w:val="0"/>
                <w:numId w:val="13"/>
              </w:numPr>
              <w:pBdr/>
              <w:spacing/>
              <w:ind w:firstLine="0" w:left="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237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5.3. </w:t>
            </w: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Обстеження місцевості та знешкодження вибухонебезпечних предметів на території громади (виконання термінових заявок)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Корюківський РВ ГУ ДСНС у Чернігівській області 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населення від вибухо-небезпечних предметів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Проведення роз’яснювально- пропагандистської  роботи серед населення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6.1. Виготовлення наочних матеріалів з безпеки життєдіяльності населення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Наочне сприйняття населенням вимог безпеки життєдіяльності та порядку дій в разі виникнення надзвичайних ситуацій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bCs/>
                <w:color w:val="000000"/>
                <w:sz w:val="23"/>
                <w:szCs w:val="23"/>
              </w:rPr>
            </w:pPr>
            <w:r/>
            <w:bookmarkStart w:id="2" w:name="_Hlk11318453"/>
            <w:r>
              <w:rPr>
                <w:color w:val="000000" w:themeColor="text1"/>
                <w:lang w:val="uk-UA"/>
              </w:rPr>
              <w:t xml:space="preserve">Забезпечення матеріальною допомогою членів добровільних пожежних команд</w:t>
            </w:r>
            <w:bookmarkEnd w:id="2"/>
            <w:r>
              <w:rPr>
                <w:color w:val="000000" w:themeColor="text1"/>
                <w:lang w:val="uk-UA"/>
              </w:rPr>
              <w:t xml:space="preserve">, які засновані Менською міською радою або КУ «Місцева пожежна охорона»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7.1. Виплата одноразової матеріальної допомоги членам добровільних пожежних команд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 Менської міської ради,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</w:t>
            </w:r>
            <w:r>
              <w:rPr>
                <w:bCs/>
                <w:color w:val="000000" w:themeColor="text1"/>
                <w:lang w:val="uk-UA"/>
              </w:rPr>
              <w:t xml:space="preserve">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Придбання спецодягу та засобів індивідуального захисту для членів ДПК, працівників МПО.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8.1. Придбання спецодягу, шоломи пожежного, чоботи пожежного, костюми камуфльовані повсякденні, черевики літні з високими берцями, </w:t>
            </w:r>
            <w:r>
              <w:rPr>
                <w:color w:val="000000" w:themeColor="text1"/>
                <w:lang w:val="uk-UA"/>
              </w:rPr>
              <w:t xml:space="preserve">аварійно-рятувальним обладнанням та засобами малої механізації</w:t>
            </w:r>
            <w:r>
              <w:rPr>
                <w:bCs/>
                <w:color w:val="000000" w:themeColor="text1"/>
                <w:lang w:val="uk-UA"/>
              </w:rPr>
              <w:t xml:space="preserve">, </w:t>
            </w:r>
            <w:r>
              <w:rPr>
                <w:color w:val="000000" w:themeColor="text1"/>
                <w:lang w:val="uk-UA"/>
              </w:rPr>
              <w:t xml:space="preserve">рукава напірні та всмоктувальні, </w:t>
            </w:r>
            <w:r>
              <w:rPr>
                <w:color w:val="000000" w:themeColor="text1"/>
                <w:lang w:val="uk-UA"/>
              </w:rPr>
              <w:t xml:space="preserve">засобами індивідуального захисту, апаратами захисту органів дихання та масками панорамними</w:t>
            </w:r>
            <w:r>
              <w:rPr>
                <w:bCs/>
                <w:color w:val="000000" w:themeColor="text1"/>
                <w:lang w:val="uk-UA"/>
              </w:rPr>
              <w:t xml:space="preserve"> тощо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</w:t>
            </w:r>
            <w:r>
              <w:rPr>
                <w:color w:val="000000" w:themeColor="text1"/>
                <w:lang w:val="uk-UA"/>
              </w:rPr>
              <w:t xml:space="preserve">членів ДПК та працівників МПО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небезпечних факторів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Ремонт спецтехніки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9.1. Поточний ремонт пожежних автомобілів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охорона»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Приведення спецтехніки, яка знаходиться на території Менської ОТГ до робочого стану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vMerge w:val="restart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237" w:type="dxa"/>
            <w:vMerge w:val="restart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Організаційне забезпечення пожежної безпеки та забезпечення розвитку матеріально-технічної бази Корюківського РВ ГУ ДСНС України у Чернігівській області,</w:t>
            </w:r>
            <w:r>
              <w:rPr>
                <w:bCs/>
                <w:color w:val="000000" w:themeColor="text1"/>
                <w:lang w:val="uk-UA"/>
              </w:rPr>
              <w:t xml:space="preserve">24 ДПРЧ (м. Борзна) 4 ДПРЗ ГУ ДСНС України у Чернігівській області</w:t>
            </w:r>
            <w:r>
              <w:rPr>
                <w:color w:val="000000" w:themeColor="text1"/>
                <w:lang w:val="uk-UA"/>
              </w:rPr>
              <w:t xml:space="preserve">, КУ «Місцева пожежна охорона» Менської </w:t>
            </w:r>
            <w:r>
              <w:rPr>
                <w:color w:val="000000" w:themeColor="text1"/>
                <w:lang w:val="uk-UA"/>
              </w:rPr>
              <w:t xml:space="preserve">міської ради, ДПК.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10.1. Придбання паливо-мастильних матеріалів для готовності пожежної та аварійно-рятувальної техніки Корюківського РВ ГУДСНС України у Чернігівській області, </w:t>
            </w:r>
            <w:r>
              <w:rPr>
                <w:bCs/>
                <w:color w:val="000000" w:themeColor="text1"/>
                <w:lang w:val="uk-UA"/>
              </w:rPr>
              <w:t xml:space="preserve">24 ДПРЧ (м. Борзна) 4 ДПРЗ ГУ ДСНС України у Чернігівській області</w:t>
            </w:r>
            <w:r>
              <w:rPr>
                <w:color w:val="000000" w:themeColor="text1"/>
                <w:lang w:val="uk-UA"/>
              </w:rPr>
              <w:t xml:space="preserve"> до дій за призначенням у випадку попередження,  загрози та виникнення надзвичайних ситуацій.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  <w:p>
            <w:pPr>
              <w:pStyle w:val="1043"/>
              <w:pBdr/>
              <w:spacing/>
              <w:ind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Корюківський РВ ГУДСНС України у Чернігівській області, </w:t>
            </w:r>
            <w:r>
              <w:rPr>
                <w:bCs/>
                <w:color w:val="000000" w:themeColor="text1"/>
                <w:lang w:val="uk-UA"/>
              </w:rPr>
              <w:t xml:space="preserve">24 ДПРЧ (м. Борзна) 4 ДПРЗ ГУ ДСНС України у Чернігівській області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vMerge w:val="continue"/>
            <w:textDirection w:val="lrTb"/>
            <w:noWrap/>
          </w:tcPr>
          <w:p>
            <w:pPr>
              <w:pBdr/>
              <w:spacing/>
              <w:ind w:left="354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vMerge w:val="continue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10.2. Придбання вказівних табличок пожежних гідрантів для 10 ДПРЧ (м. Мена) 2 ДПРЗ ГУ ДСНС України у Чернігівській області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Корюківський РВ ГУДСНС України у Чернігівській області, </w:t>
            </w:r>
            <w:r>
              <w:rPr>
                <w:bCs/>
                <w:color w:val="000000" w:themeColor="text1"/>
                <w:lang w:val="uk-UA"/>
              </w:rPr>
              <w:t xml:space="preserve">10 ДПРЧ (м. Мена) 2 ДПРЗ ГУ ДСНС України у Чернігівській області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ff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ff0000"/>
                <w:lang w:val="uk-UA"/>
              </w:rPr>
            </w:r>
            <w:r>
              <w:rPr>
                <w:bCs/>
                <w:color w:val="ff0000"/>
                <w:lang w:val="uk-UA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- поточний ремонт приміщень, для розміщення філій місцевих пожежних команд та ДПК;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- закупівля матеріалів для проведення поточного ремонту приміщень 10 ДПРЧ (м. Мена) 2 ДПРЗ ГУ ДСНС України в Чернігівській </w:t>
            </w:r>
            <w:r>
              <w:rPr>
                <w:color w:val="000000" w:themeColor="text1"/>
                <w:lang w:val="uk-UA"/>
              </w:rPr>
              <w:t xml:space="preserve">області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11.1. Поточний ремонт будівель пожежних ДЕПО</w:t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  <w:p>
            <w:pPr>
              <w:pStyle w:val="1043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11.2. Матеріальне забезпечення проведення поточного ремонту приміщень </w:t>
            </w:r>
            <w:r>
              <w:rPr>
                <w:color w:val="000000" w:themeColor="text1"/>
                <w:lang w:val="uk-UA"/>
              </w:rPr>
              <w:t xml:space="preserve">10 ДПРЧ (м. Мена) 2 ДПРЗ ГУ ДСНС України в Чернігівській області</w:t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», </w:t>
            </w:r>
            <w:r>
              <w:rPr>
                <w:color w:val="000000" w:themeColor="text1"/>
                <w:lang w:val="uk-UA"/>
              </w:rPr>
              <w:t xml:space="preserve">10 ДПРЧ (м. Мена) 2 ДПРЗ ГУ ДСНС України в Чернігівській області</w:t>
            </w:r>
            <w:r>
              <w:rPr>
                <w:color w:val="000000" w:themeColor="text1"/>
                <w:sz w:val="23"/>
                <w:szCs w:val="23"/>
              </w:rPr>
            </w:r>
            <w:r>
              <w:rPr>
                <w:color w:val="000000" w:themeColor="text1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незаборонені законодавством джерела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Забезпечення нормальних умов для чергувань членам ДПК, працівникам МПО, особовому складу </w:t>
            </w:r>
            <w:r>
              <w:rPr>
                <w:color w:val="000000" w:themeColor="text1"/>
                <w:lang w:val="uk-UA"/>
              </w:rPr>
              <w:t xml:space="preserve">10 ДПРЧ (м. Мена) 2 ДПРЗ ГУ ДСНС України в Чернігівській області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шляхом проведення робіт з  поточного ремонту</w:t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</w:tc>
      </w:tr>
      <w:tr>
        <w:trPr>
          <w:cantSplit/>
          <w:trHeight w:val="230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Капітальний ремонт приміщень, для розміщення філій місцевих пожежних команд та ДПК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12.1. Капітальний ремонт будівель пожежних ДЕПО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бюджети інших рівнів</w:t>
            </w:r>
            <w:r>
              <w:rPr>
                <w:bCs/>
                <w:color w:val="000000" w:themeColor="text1"/>
                <w:lang w:val="uk-UA"/>
              </w:rPr>
              <w:t xml:space="preserve">, інші незаборонені законодавством джерела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Забезпечення нормальних умов для чергувань членам ДПК та працівникам МПО, шляхом проведення робіт з капітального та поточного ремонтів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Придбання спецтехніки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13.1 Придбання 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пожежного автомобіля пристосованого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для потреб М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ПО (цистерна для води не менше 5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т.) 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</w:t>
            </w:r>
            <w:r>
              <w:rPr>
                <w:bCs/>
                <w:color w:val="000000" w:themeColor="text1"/>
                <w:lang w:val="uk-UA"/>
              </w:rPr>
              <w:t xml:space="preserve">Менської міської територіальної громади, бюджети інших рівнів</w:t>
            </w:r>
            <w:r>
              <w:rPr>
                <w:bCs/>
                <w:color w:val="000000" w:themeColor="text1"/>
                <w:lang w:val="uk-UA"/>
              </w:rPr>
              <w:t xml:space="preserve">, інші незаборонені законодавством джерела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Забезпечення нормальних умов для чергувань членам ДПК та працівникам МПО, шляхом проведення робіт з капітального та поточного ремонтів 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Забезпечення евакуації/вивезення/переміщення цивільного населення із місцевості, де ведуться бойові дії, та небезпечних територій у безпечні місця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15.1.Оплата транспортних послуг, пально-мастильних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матеріалів,облаштування місць розміщення громадян, які у зв’язку з бойовими діями залишили місце проживання/перебування, виготовлення проектно-кошторисної документації, проведення експертизи проектно-кошторисної документації, здійснення авторського нагляду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, здійснення технічного нагляду, виготовлення технічних умов на підключення до інженерних мереж, виготовлення проектно-кошторисної документації на підключення до інженерних мереж, виготовлення технічного паспорту на будівлю, виготовлення сертифіката готовн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ості об’єкта до експлуатації в т.ч. на будівлі, які визначені, або яків подальшому будуть використовуватися, для тимчасового проживання внутрішньо переміщених осіб, оплату інших заходів спрямованих на підтримку цивільного населення в умовах воєнного стану.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Менської міської територіальної громади, бюджети інших рівнів</w:t>
            </w:r>
            <w:r>
              <w:rPr>
                <w:bCs/>
                <w:color w:val="000000" w:themeColor="text1"/>
                <w:lang w:val="uk-UA"/>
              </w:rPr>
              <w:t xml:space="preserve">,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Ефективне та реальне забезпечення процесу евакуації/вивезення/переміщення цивільного населення із місцевості, де ведуться бойові дії, та небезпечних територій у безпечні місця</w:t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</w:p>
        </w:tc>
      </w:tr>
      <w:tr>
        <w:trPr>
          <w:trHeight w:val="253"/>
        </w:trPr>
        <w:tc>
          <w:tcPr>
            <w:tcBorders/>
            <w:tcW w:w="457" w:type="dxa"/>
            <w:vMerge w:val="restart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vMerge w:val="restart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Забезпечення організації та функціонування </w:t>
            </w:r>
            <w:r>
              <w:rPr>
                <w:color w:val="000000" w:themeColor="text1"/>
                <w:lang w:val="uk-UA"/>
              </w:rPr>
              <w:t xml:space="preserve">пунктів незламності визначених на території Менської міської територіальної громади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659" w:type="dxa"/>
            <w:vMerge w:val="restart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Здійснення заходів щодо комплектації та забезпечення </w:t>
            </w:r>
            <w:r>
              <w:rPr>
                <w:color w:val="000000" w:themeColor="text1"/>
                <w:lang w:val="uk-UA"/>
              </w:rPr>
              <w:t xml:space="preserve">діяльності пунктів незламності (оплата товарів та послуг,придбання (надання) пально-мастильних матеріалів,придбання обладнання необхідного для повноцінного функціонування пунктів незламності, поточні та капітальні ремонти)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підприємства, установи, заклади та </w:t>
            </w:r>
            <w:r>
              <w:rPr>
                <w:bCs/>
                <w:color w:val="000000" w:themeColor="text1"/>
                <w:lang w:val="uk-UA"/>
              </w:rPr>
              <w:t xml:space="preserve">організації всіх форм власності, які визначені як пункти незламності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Менської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lang w:val="uk-UA"/>
              </w:rPr>
              <w:t xml:space="preserve">міської територіальної громади, бюджети інших рівнів, інші незаборонені законодавством джерела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2851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</w:t>
            </w:r>
            <w:r>
              <w:rPr>
                <w:color w:val="000000" w:themeColor="text1"/>
                <w:lang w:val="uk-UA"/>
              </w:rPr>
              <w:t xml:space="preserve">природного, соціального та воєнного характеру.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53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237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Облаштування, забезпечення функціонування та матеріально-технічне оснащення Центру безпеки і соціальної згуртованості Менської міської ради, в тому числі: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поточний/капітальний ремонт приміщення для розміщення Центру безпеки і соціальної згуртованості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Менської міської ради;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створення комп’ютерної  мережі та підведення інтернет;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IP телефонія;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цілодобова гаряча лінія;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GPS навігація;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відомчий пульт охорони;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кнопки тривожного виклику на об’єктах комунальної інфраструктури (освіти, спорту, культури, медицини, комунальні підприємства тощо);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система екстреного зв’язку в публічних місцях;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закупівля підсистеми, матеріальних носіїв,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електронних пристроїв, комп’ютерної та периферійної техніки та інших технічних засобів, що забезпечують відтворення інформації;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засоби електроживлення, кондиціонування, пожежної та охоронної сигналізації;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IP система оповіщення і інформування;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придбання,встановлення та обслуговування систем оповіщення цивільного населення;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придбання меблів, побутової техніки, інформаційних стендів, табличок, мап.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Створення безпекового простору на території населених пунктів громади у всіх сферах життєдіяльності та сприяння соціально-економічному розвитку Менської міської територіальної громади.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1043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</w:t>
            </w:r>
            <w:r>
              <w:rPr>
                <w:bCs/>
                <w:color w:val="000000" w:themeColor="text1"/>
                <w:lang w:val="uk-UA"/>
              </w:rPr>
            </w:r>
            <w:r>
              <w:rPr>
                <w:bCs/>
                <w:color w:val="000000" w:themeColor="text1"/>
                <w:lang w:val="uk-UA"/>
              </w:rPr>
            </w:r>
          </w:p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виконавчі органи Менської міської ради.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Комунальні підприємства, установи та 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громади, інші не</w:t>
            </w:r>
            <w:bookmarkStart w:id="3" w:name="_GoBack"/>
            <w:r/>
            <w:bookmarkEnd w:id="3"/>
            <w:r>
              <w:rPr>
                <w:bCs/>
                <w:color w:val="000000" w:themeColor="text1"/>
                <w:lang w:val="uk-UA"/>
              </w:rPr>
              <w:t xml:space="preserve">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  <w:t xml:space="preserve">650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Підвищення оперативності реагування на вчинені правопорушення, їх попередження та виявлення, розкриття кримінальних правопорушень; підвищення ефективності </w:t>
            </w:r>
            <w:r>
              <w:rPr>
                <w:bCs/>
                <w:color w:val="000000" w:themeColor="text1"/>
                <w:lang w:val="uk-UA"/>
              </w:rPr>
              <w:t xml:space="preserve">оперативного та дієвого оповіщення населення про </w:t>
            </w:r>
            <w:r>
              <w:rPr>
                <w:color w:val="000000" w:themeColor="text1"/>
                <w:lang w:val="uk-UA"/>
              </w:rPr>
              <w:t xml:space="preserve">надзвичайні ситуації техногенного, природного, соціального та воєнного характеру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cantSplit/>
          <w:trHeight w:val="276"/>
        </w:trPr>
        <w:tc>
          <w:tcPr>
            <w:gridSpan w:val="6"/>
            <w:tcBorders/>
            <w:tcW w:w="10598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Усього: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428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8314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9190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230"/>
        </w:trPr>
        <w:tc>
          <w:tcPr>
            <w:gridSpan w:val="6"/>
            <w:tcBorders/>
            <w:tcW w:w="10598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gridSpan w:val="3"/>
            <w:tcBorders/>
            <w:tcW w:w="264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24932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</w:tbl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Заступник міського голови з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питань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діяльності виконавчих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органів ради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  <w:t xml:space="preserve">                                         Сергій ГАЄВОЙ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sectPr>
      <w:footerReference w:type="first" r:id="rId13"/>
      <w:footnotePr/>
      <w:endnotePr/>
      <w:type w:val="nextPage"/>
      <w:pgSz w:h="11906" w:orient="landscape" w:w="16838"/>
      <w:pgMar w:top="993" w:right="1134" w:bottom="567" w:left="1134" w:header="317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mbria">
    <w:panose1 w:val="02040503050406030204"/>
  </w:font>
  <w:font w:name="Segoe UI">
    <w:panose1 w:val="020B050204050402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2</w:t>
    </w:r>
    <w:r>
      <w:rPr>
        <w:rFonts w:ascii="Times New Roman" w:hAnsi="Times New Roman" w:eastAsia="Times New Roman" w:cs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  продовження додатка</w:t>
    </w: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0"/>
      <w:framePr w:hAnchor="margin" w:vAnchor="text" w:wrap="around" w:xAlign="center" w:y="1"/>
      <w:pBdr/>
      <w:spacing/>
      <w:ind/>
      <w:rPr>
        <w:rStyle w:val="1051"/>
      </w:rPr>
    </w:pPr>
    <w:r>
      <w:rPr>
        <w:rStyle w:val="1051"/>
      </w:rPr>
      <w:fldChar w:fldCharType="begin"/>
    </w:r>
    <w:r>
      <w:rPr>
        <w:rStyle w:val="1051"/>
      </w:rPr>
      <w:instrText xml:space="preserve">PAGE  </w:instrText>
    </w:r>
    <w:r>
      <w:rPr>
        <w:rStyle w:val="1051"/>
      </w:rPr>
      <w:fldChar w:fldCharType="end"/>
    </w:r>
    <w:r>
      <w:rPr>
        <w:rStyle w:val="1051"/>
      </w:rPr>
    </w:r>
    <w:r>
      <w:rPr>
        <w:rStyle w:val="1051"/>
      </w:rPr>
    </w:r>
  </w:p>
  <w:p>
    <w:pPr>
      <w:pStyle w:val="105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left" w:leader="none" w:pos="356"/>
        </w:tabs>
        <w:spacing/>
        <w:ind w:hanging="353" w:left="356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076"/>
        </w:tabs>
        <w:spacing/>
        <w:ind w:hanging="353" w:left="107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1796"/>
        </w:tabs>
        <w:spacing/>
        <w:ind w:hanging="353" w:left="179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516"/>
        </w:tabs>
        <w:spacing/>
        <w:ind w:hanging="353" w:left="251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236"/>
        </w:tabs>
        <w:spacing/>
        <w:ind w:hanging="353" w:left="323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3956"/>
        </w:tabs>
        <w:spacing/>
        <w:ind w:hanging="353" w:left="395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4676"/>
        </w:tabs>
        <w:spacing/>
        <w:ind w:hanging="353" w:left="467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396"/>
        </w:tabs>
        <w:spacing/>
        <w:ind w:hanging="353" w:left="539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116"/>
        </w:tabs>
        <w:spacing/>
        <w:ind w:hanging="353" w:left="6116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/>
      <w:numFmt w:val="bullet"/>
      <w:pPr>
        <w:pBdr/>
        <w:tabs>
          <w:tab w:val="left" w:leader="none" w:pos="356"/>
        </w:tabs>
        <w:spacing/>
        <w:ind w:hanging="353" w:left="356"/>
      </w:pPr>
      <w:rPr>
        <w:rFonts w:ascii="Times New Roman" w:hAnsi="Times New Roman" w:eastAsia="Times New Roman"/>
      </w:rPr>
      <w:start w:val="2012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076"/>
        </w:tabs>
        <w:spacing/>
        <w:ind w:hanging="353" w:left="107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1796"/>
        </w:tabs>
        <w:spacing/>
        <w:ind w:hanging="353" w:left="179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516"/>
        </w:tabs>
        <w:spacing/>
        <w:ind w:hanging="353" w:left="251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236"/>
        </w:tabs>
        <w:spacing/>
        <w:ind w:hanging="353" w:left="323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3956"/>
        </w:tabs>
        <w:spacing/>
        <w:ind w:hanging="353" w:left="395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4676"/>
        </w:tabs>
        <w:spacing/>
        <w:ind w:hanging="353" w:left="467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396"/>
        </w:tabs>
        <w:spacing/>
        <w:ind w:hanging="353" w:left="539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116"/>
        </w:tabs>
        <w:spacing/>
        <w:ind w:hanging="353" w:left="6116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1080"/>
        </w:tabs>
        <w:spacing/>
        <w:ind w:hanging="353" w:left="108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800"/>
        </w:tabs>
        <w:spacing/>
        <w:ind w:hanging="353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520"/>
        </w:tabs>
        <w:spacing/>
        <w:ind w:hanging="173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240"/>
        </w:tabs>
        <w:spacing/>
        <w:ind w:hanging="353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960"/>
        </w:tabs>
        <w:spacing/>
        <w:ind w:hanging="353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680"/>
        </w:tabs>
        <w:spacing/>
        <w:ind w:hanging="173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400"/>
        </w:tabs>
        <w:spacing/>
        <w:ind w:hanging="353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120"/>
        </w:tabs>
        <w:spacing/>
        <w:ind w:hanging="353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840"/>
        </w:tabs>
        <w:spacing/>
        <w:ind w:hanging="173" w:left="684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3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6469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53" w:left="142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3" w:left="2149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3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3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3" w:left="4309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3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3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3" w:left="6469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3" w:left="7189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5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0" w:left="648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13" w:left="13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64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53" w:left="720"/>
      </w:pPr>
      <w:rPr>
        <w:rFonts w:ascii="Times New Roman" w:hAnsi="Times New Roman" w:eastAsia="Times New Roman"/>
      </w:rPr>
      <w:start w:val="20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3" w:left="648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413" w:left="13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98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70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342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414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86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58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630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7020"/>
      </w:pPr>
      <w:rPr>
        <w:rFonts w:cs="Times New Roman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left" w:leader="none" w:pos="1211"/>
        </w:tabs>
        <w:spacing/>
        <w:ind w:firstLine="851"/>
      </w:pPr>
      <w:rPr>
        <w:rFonts w:ascii="Times New Roman" w:hAnsi="Times New Roman" w:cs="Times New Roman"/>
        <w:b w:val="0"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3" w:left="6480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3" w:left="6480"/>
      </w:pPr>
      <w:rPr>
        <w:rFonts w:cs="Times New Roman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53" w:left="16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3" w:left="23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3" w:left="30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3" w:left="37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3" w:left="45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3" w:left="52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3" w:left="5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3" w:left="66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3" w:left="7380"/>
      </w:pPr>
      <w:rPr>
        <w:rFonts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55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69"/>
      </w:pPr>
      <w:rPr>
        <w:rFonts w:cs="Times New Roman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tabs>
          <w:tab w:val="left" w:leader="none" w:pos="2220"/>
        </w:tabs>
        <w:spacing/>
        <w:ind w:hanging="1313" w:left="2220"/>
      </w:pPr>
      <w:rPr>
        <w:rFonts w:ascii="Times New Roman" w:hAnsi="Times New Roman" w:eastAsia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3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3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3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3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3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3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3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3" w:left="7020"/>
      </w:pPr>
      <w:rPr>
        <w:rFonts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tabs>
          <w:tab w:val="left" w:leader="none" w:pos="2220"/>
        </w:tabs>
        <w:spacing/>
        <w:ind w:hanging="1313" w:left="2220"/>
      </w:pPr>
      <w:rPr>
        <w:rFonts w:ascii="Times New Roman" w:hAnsi="Times New Roman" w:eastAsia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3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3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3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3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3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3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3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3" w:left="7020"/>
      </w:pPr>
      <w:rPr>
        <w:rFonts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52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480"/>
      </w:pPr>
      <w:rPr>
        <w:rFonts w:cs="Times New Roman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53" w:left="720"/>
      </w:pPr>
      <w:rPr>
        <w:rFonts w:ascii="Times New Roman" w:hAnsi="Times New Roman" w:eastAsia="Times New Roman"/>
      </w:rPr>
      <w:start w:val="20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3" w:left="6480"/>
      </w:pPr>
      <w:rPr>
        <w:rFonts w:cs="Times New Roman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53" w:left="16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23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30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37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45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52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9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66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7380"/>
      </w:pPr>
      <w:rPr>
        <w:rFonts w:cs="Times New Roman"/>
      </w:rPr>
      <w:start w:val="1"/>
      <w:suff w:val="tab"/>
    </w:lvl>
  </w:abstractNum>
  <w:abstractNum w:abstractNumId="2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5"/>
  </w:num>
  <w:num w:numId="2">
    <w:abstractNumId w:val="2"/>
  </w:num>
  <w:num w:numId="3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13"/>
  </w:num>
  <w:num w:numId="11">
    <w:abstractNumId w:val="20"/>
  </w:num>
  <w:num w:numId="12">
    <w:abstractNumId w:val="10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7"/>
  </w:num>
  <w:num w:numId="17">
    <w:abstractNumId w:val="1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7"/>
  </w:num>
  <w:num w:numId="20">
    <w:abstractNumId w:val="16"/>
  </w:num>
  <w:num w:numId="21">
    <w:abstractNumId w:val="18"/>
  </w:num>
  <w:num w:numId="22">
    <w:abstractNumId w:val="8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8">
    <w:name w:val="Heading 1"/>
    <w:basedOn w:val="798"/>
    <w:next w:val="798"/>
    <w:link w:val="82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79">
    <w:name w:val="Heading 2"/>
    <w:basedOn w:val="798"/>
    <w:next w:val="798"/>
    <w:link w:val="82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80">
    <w:name w:val="Heading 3"/>
    <w:basedOn w:val="798"/>
    <w:next w:val="798"/>
    <w:link w:val="9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81">
    <w:name w:val="Heading 4"/>
    <w:basedOn w:val="798"/>
    <w:next w:val="798"/>
    <w:link w:val="82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82">
    <w:name w:val="Heading 5"/>
    <w:basedOn w:val="798"/>
    <w:next w:val="798"/>
    <w:link w:val="82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83">
    <w:name w:val="Heading 6"/>
    <w:basedOn w:val="798"/>
    <w:next w:val="798"/>
    <w:link w:val="82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4">
    <w:name w:val="Heading 7"/>
    <w:basedOn w:val="798"/>
    <w:next w:val="798"/>
    <w:link w:val="83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5">
    <w:name w:val="Heading 8"/>
    <w:basedOn w:val="798"/>
    <w:next w:val="798"/>
    <w:link w:val="83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6">
    <w:name w:val="Heading 9"/>
    <w:basedOn w:val="798"/>
    <w:next w:val="798"/>
    <w:link w:val="83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7">
    <w:name w:val="Intense Emphasis"/>
    <w:basedOn w:val="7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8">
    <w:name w:val="Intense Reference"/>
    <w:basedOn w:val="7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9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0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791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792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3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4">
    <w:name w:val="Header"/>
    <w:basedOn w:val="798"/>
    <w:link w:val="9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5">
    <w:name w:val="Footer"/>
    <w:basedOn w:val="798"/>
    <w:link w:val="9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6">
    <w:name w:val="Caption"/>
    <w:basedOn w:val="798"/>
    <w:next w:val="79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97">
    <w:name w:val="FollowedHyperlink"/>
    <w:basedOn w:val="7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98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 w:cs="Calibri"/>
      <w:sz w:val="20"/>
      <w:szCs w:val="20"/>
      <w:lang w:val="uk-UA" w:eastAsia="zh-CN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table" w:styleId="80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1" w:default="1">
    <w:name w:val="No List"/>
    <w:uiPriority w:val="99"/>
    <w:semiHidden/>
    <w:unhideWhenUsed/>
    <w:pPr>
      <w:pBdr/>
      <w:spacing/>
      <w:ind/>
    </w:pPr>
  </w:style>
  <w:style w:type="character" w:styleId="802" w:customStyle="1">
    <w:name w:val="Caption Char"/>
    <w:uiPriority w:val="99"/>
    <w:pPr>
      <w:pBdr/>
      <w:spacing/>
      <w:ind/>
    </w:pPr>
  </w:style>
  <w:style w:type="paragraph" w:styleId="803" w:customStyle="1">
    <w:name w:val="Заголовок 11"/>
    <w:basedOn w:val="798"/>
    <w:next w:val="7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4" w:customStyle="1">
    <w:name w:val="Заголовок 21"/>
    <w:basedOn w:val="798"/>
    <w:next w:val="7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5" w:customStyle="1">
    <w:name w:val="Заголовок 3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6" w:customStyle="1">
    <w:name w:val="Заголовок 4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7" w:customStyle="1">
    <w:name w:val="Заголовок 5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8" w:customStyle="1">
    <w:name w:val="Заголовок 6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9" w:customStyle="1">
    <w:name w:val="Заголовок 7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0" w:customStyle="1">
    <w:name w:val="Заголовок 8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1" w:customStyle="1">
    <w:name w:val="Заголовок 9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12" w:customStyle="1">
    <w:name w:val="Верхний колонтитул1"/>
    <w:basedOn w:val="79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3" w:customStyle="1">
    <w:name w:val="Нижний колонтитул1"/>
    <w:basedOn w:val="798"/>
    <w:link w:val="83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4" w:customStyle="1">
    <w:name w:val="Название объекта1"/>
    <w:basedOn w:val="798"/>
    <w:next w:val="79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5" w:customStyle="1">
    <w:name w:val="Endnote Text Char"/>
    <w:uiPriority w:val="99"/>
    <w:pPr>
      <w:pBdr/>
      <w:spacing/>
      <w:ind/>
    </w:pPr>
    <w:rPr>
      <w:sz w:val="20"/>
    </w:rPr>
  </w:style>
  <w:style w:type="paragraph" w:styleId="816" w:customStyle="1">
    <w:name w:val="Заголовок 31"/>
    <w:basedOn w:val="798"/>
    <w:next w:val="79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7" w:customStyle="1">
    <w:name w:val="Заголовок 11"/>
    <w:basedOn w:val="798"/>
    <w:next w:val="798"/>
    <w:uiPriority w:val="9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cs="Arial"/>
      <w:sz w:val="40"/>
      <w:szCs w:val="40"/>
    </w:rPr>
  </w:style>
  <w:style w:type="paragraph" w:styleId="818" w:customStyle="1">
    <w:name w:val="Заголовок 21"/>
    <w:basedOn w:val="798"/>
    <w:next w:val="798"/>
    <w:uiPriority w:val="99"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819" w:customStyle="1">
    <w:name w:val="Заголовок 41"/>
    <w:basedOn w:val="798"/>
    <w:next w:val="798"/>
    <w:uiPriority w:val="99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20" w:customStyle="1">
    <w:name w:val="Заголовок 51"/>
    <w:basedOn w:val="798"/>
    <w:next w:val="798"/>
    <w:uiPriority w:val="99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21" w:customStyle="1">
    <w:name w:val="Заголовок 61"/>
    <w:basedOn w:val="798"/>
    <w:next w:val="798"/>
    <w:uiPriority w:val="9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</w:rPr>
  </w:style>
  <w:style w:type="paragraph" w:styleId="822" w:customStyle="1">
    <w:name w:val="Заголовок 71"/>
    <w:basedOn w:val="798"/>
    <w:next w:val="798"/>
    <w:uiPriority w:val="9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</w:rPr>
  </w:style>
  <w:style w:type="paragraph" w:styleId="823" w:customStyle="1">
    <w:name w:val="Заголовок 81"/>
    <w:basedOn w:val="798"/>
    <w:next w:val="798"/>
    <w:uiPriority w:val="9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</w:rPr>
  </w:style>
  <w:style w:type="paragraph" w:styleId="824" w:customStyle="1">
    <w:name w:val="Заголовок 91"/>
    <w:basedOn w:val="798"/>
    <w:next w:val="798"/>
    <w:uiPriority w:val="9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825" w:customStyle="1">
    <w:name w:val="Heading 1 Char"/>
    <w:basedOn w:val="799"/>
    <w:link w:val="965"/>
    <w:uiPriority w:val="99"/>
    <w:pPr>
      <w:pBdr/>
      <w:spacing/>
      <w:ind/>
    </w:pPr>
    <w:rPr>
      <w:rFonts w:ascii="Arial" w:hAnsi="Arial" w:cs="Times New Roman"/>
      <w:sz w:val="40"/>
      <w:szCs w:val="40"/>
      <w:lang w:val="ru-RU" w:eastAsia="ru-RU" w:bidi="ar-SA"/>
    </w:rPr>
  </w:style>
  <w:style w:type="character" w:styleId="826" w:customStyle="1">
    <w:name w:val="Heading 2 Char"/>
    <w:basedOn w:val="799"/>
    <w:link w:val="966"/>
    <w:uiPriority w:val="99"/>
    <w:pPr>
      <w:pBdr/>
      <w:spacing/>
      <w:ind/>
    </w:pPr>
    <w:rPr>
      <w:rFonts w:ascii="Arial" w:hAnsi="Arial" w:cs="Times New Roman"/>
      <w:sz w:val="22"/>
      <w:szCs w:val="22"/>
      <w:lang w:val="ru-RU" w:eastAsia="ru-RU" w:bidi="ar-SA"/>
    </w:rPr>
  </w:style>
  <w:style w:type="character" w:styleId="827" w:customStyle="1">
    <w:name w:val="Heading 4 Char"/>
    <w:basedOn w:val="799"/>
    <w:link w:val="969"/>
    <w:uiPriority w:val="99"/>
    <w:pPr>
      <w:pBdr/>
      <w:spacing/>
      <w:ind/>
    </w:pPr>
    <w:rPr>
      <w:rFonts w:ascii="Arial" w:hAnsi="Arial" w:cs="Times New Roman"/>
      <w:b/>
      <w:bCs/>
      <w:sz w:val="26"/>
      <w:szCs w:val="26"/>
      <w:lang w:val="ru-RU" w:eastAsia="ru-RU" w:bidi="ar-SA"/>
    </w:rPr>
  </w:style>
  <w:style w:type="character" w:styleId="828" w:customStyle="1">
    <w:name w:val="Heading 5 Char"/>
    <w:basedOn w:val="799"/>
    <w:link w:val="970"/>
    <w:uiPriority w:val="99"/>
    <w:pPr>
      <w:pBdr/>
      <w:spacing/>
      <w:ind/>
    </w:pPr>
    <w:rPr>
      <w:rFonts w:ascii="Arial" w:hAnsi="Arial" w:cs="Times New Roman"/>
      <w:b/>
      <w:bCs/>
      <w:sz w:val="24"/>
      <w:szCs w:val="24"/>
      <w:lang w:val="ru-RU" w:eastAsia="ru-RU" w:bidi="ar-SA"/>
    </w:rPr>
  </w:style>
  <w:style w:type="character" w:styleId="829" w:customStyle="1">
    <w:name w:val="Heading 6 Char"/>
    <w:basedOn w:val="799"/>
    <w:link w:val="971"/>
    <w:uiPriority w:val="99"/>
    <w:pPr>
      <w:pBdr/>
      <w:spacing/>
      <w:ind/>
    </w:pPr>
    <w:rPr>
      <w:rFonts w:ascii="Arial" w:hAnsi="Arial" w:cs="Times New Roman"/>
      <w:b/>
      <w:bCs/>
      <w:sz w:val="22"/>
      <w:szCs w:val="22"/>
      <w:lang w:val="ru-RU" w:eastAsia="ru-RU" w:bidi="ar-SA"/>
    </w:rPr>
  </w:style>
  <w:style w:type="character" w:styleId="830" w:customStyle="1">
    <w:name w:val="Heading 7 Char"/>
    <w:basedOn w:val="799"/>
    <w:link w:val="972"/>
    <w:uiPriority w:val="99"/>
    <w:pPr>
      <w:pBdr/>
      <w:spacing/>
      <w:ind/>
    </w:pPr>
    <w:rPr>
      <w:rFonts w:ascii="Arial" w:hAnsi="Arial" w:cs="Times New Roman"/>
      <w:b/>
      <w:bCs/>
      <w:i/>
      <w:iCs/>
      <w:sz w:val="22"/>
      <w:szCs w:val="22"/>
      <w:lang w:val="ru-RU" w:eastAsia="ru-RU" w:bidi="ar-SA"/>
    </w:rPr>
  </w:style>
  <w:style w:type="character" w:styleId="831" w:customStyle="1">
    <w:name w:val="Heading 8 Char"/>
    <w:basedOn w:val="799"/>
    <w:link w:val="973"/>
    <w:uiPriority w:val="99"/>
    <w:pPr>
      <w:pBdr/>
      <w:spacing/>
      <w:ind/>
    </w:pPr>
    <w:rPr>
      <w:rFonts w:ascii="Arial" w:hAnsi="Arial" w:cs="Times New Roman"/>
      <w:i/>
      <w:iCs/>
      <w:sz w:val="22"/>
      <w:szCs w:val="22"/>
      <w:lang w:val="ru-RU" w:eastAsia="ru-RU" w:bidi="ar-SA"/>
    </w:rPr>
  </w:style>
  <w:style w:type="character" w:styleId="832" w:customStyle="1">
    <w:name w:val="Heading 9 Char"/>
    <w:basedOn w:val="799"/>
    <w:link w:val="974"/>
    <w:uiPriority w:val="99"/>
    <w:pPr>
      <w:pBdr/>
      <w:spacing/>
      <w:ind/>
    </w:pPr>
    <w:rPr>
      <w:rFonts w:ascii="Arial" w:hAnsi="Arial" w:cs="Times New Roman"/>
      <w:i/>
      <w:iCs/>
      <w:sz w:val="21"/>
      <w:szCs w:val="21"/>
      <w:lang w:val="ru-RU" w:eastAsia="ru-RU" w:bidi="ar-SA"/>
    </w:rPr>
  </w:style>
  <w:style w:type="paragraph" w:styleId="833">
    <w:name w:val="table of figures"/>
    <w:basedOn w:val="798"/>
    <w:next w:val="798"/>
    <w:uiPriority w:val="99"/>
    <w:pPr>
      <w:pBdr/>
      <w:spacing/>
      <w:ind/>
    </w:pPr>
  </w:style>
  <w:style w:type="paragraph" w:styleId="834" w:customStyle="1">
    <w:name w:val="Название объекта1"/>
    <w:basedOn w:val="798"/>
    <w:next w:val="798"/>
    <w:uiPriority w:val="99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35" w:customStyle="1">
    <w:name w:val="Нижний колонтитул Знак1"/>
    <w:link w:val="813"/>
    <w:uiPriority w:val="99"/>
    <w:pPr>
      <w:pBdr/>
      <w:spacing/>
      <w:ind/>
    </w:pPr>
  </w:style>
  <w:style w:type="table" w:styleId="836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2">
    <w:name w:val="endnote text"/>
    <w:basedOn w:val="798"/>
    <w:link w:val="943"/>
    <w:uiPriority w:val="99"/>
    <w:semiHidden/>
    <w:pPr>
      <w:pBdr/>
      <w:spacing/>
      <w:ind/>
    </w:pPr>
    <w:rPr>
      <w:lang w:eastAsia="ru-RU"/>
    </w:rPr>
  </w:style>
  <w:style w:type="character" w:styleId="943" w:customStyle="1">
    <w:name w:val="Текст концевой сноски Знак"/>
    <w:basedOn w:val="799"/>
    <w:link w:val="942"/>
    <w:uiPriority w:val="99"/>
    <w:pPr>
      <w:pBdr/>
      <w:spacing/>
      <w:ind/>
    </w:pPr>
    <w:rPr>
      <w:rFonts w:cs="Times New Roman"/>
      <w:sz w:val="20"/>
    </w:rPr>
  </w:style>
  <w:style w:type="character" w:styleId="944">
    <w:name w:val="endnote reference"/>
    <w:basedOn w:val="799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45" w:customStyle="1">
    <w:name w:val="Заголовок 11"/>
    <w:basedOn w:val="798"/>
    <w:next w:val="798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 w:cs="Arial"/>
      <w:sz w:val="40"/>
      <w:szCs w:val="40"/>
    </w:rPr>
  </w:style>
  <w:style w:type="paragraph" w:styleId="946" w:customStyle="1">
    <w:name w:val="Заголовок 21"/>
    <w:basedOn w:val="798"/>
    <w:next w:val="798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947" w:customStyle="1">
    <w:name w:val="Заголовок 31"/>
    <w:basedOn w:val="798"/>
    <w:next w:val="798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 w:cs="Arial"/>
      <w:sz w:val="30"/>
      <w:szCs w:val="30"/>
    </w:rPr>
  </w:style>
  <w:style w:type="paragraph" w:styleId="948" w:customStyle="1">
    <w:name w:val="Заголовок 41"/>
    <w:basedOn w:val="798"/>
    <w:next w:val="798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949" w:customStyle="1">
    <w:name w:val="Заголовок 51"/>
    <w:basedOn w:val="798"/>
    <w:next w:val="798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950" w:customStyle="1">
    <w:name w:val="Заголовок 61"/>
    <w:basedOn w:val="798"/>
    <w:next w:val="798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</w:rPr>
  </w:style>
  <w:style w:type="paragraph" w:styleId="951" w:customStyle="1">
    <w:name w:val="Заголовок 71"/>
    <w:basedOn w:val="798"/>
    <w:next w:val="798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</w:rPr>
  </w:style>
  <w:style w:type="paragraph" w:styleId="952" w:customStyle="1">
    <w:name w:val="Заголовок 81"/>
    <w:basedOn w:val="798"/>
    <w:next w:val="798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</w:rPr>
  </w:style>
  <w:style w:type="paragraph" w:styleId="953" w:customStyle="1">
    <w:name w:val="Заголовок 91"/>
    <w:basedOn w:val="798"/>
    <w:next w:val="798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paragraph" w:styleId="954" w:customStyle="1">
    <w:name w:val="Верхний колонтитул1"/>
    <w:basedOn w:val="798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955" w:customStyle="1">
    <w:name w:val="Нижний колонтитул1"/>
    <w:basedOn w:val="798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956" w:customStyle="1">
    <w:name w:val="Заголовок 111"/>
    <w:basedOn w:val="1043"/>
    <w:next w:val="1043"/>
    <w:link w:val="1004"/>
    <w:uiPriority w:val="99"/>
    <w:pPr>
      <w:keepNext w:val="true"/>
      <w:pBdr/>
      <w:spacing w:after="60" w:before="240"/>
      <w:ind/>
      <w:outlineLvl w:val="0"/>
    </w:pPr>
    <w:rPr>
      <w:rFonts w:ascii="Arial" w:hAnsi="Arial"/>
      <w:sz w:val="40"/>
      <w:szCs w:val="20"/>
    </w:rPr>
  </w:style>
  <w:style w:type="paragraph" w:styleId="957" w:customStyle="1">
    <w:name w:val="Заголовок 211"/>
    <w:basedOn w:val="1043"/>
    <w:next w:val="1043"/>
    <w:link w:val="1005"/>
    <w:uiPriority w:val="99"/>
    <w:pPr>
      <w:keepNext w:val="true"/>
      <w:pBdr/>
      <w:spacing w:after="60" w:before="240"/>
      <w:ind/>
      <w:outlineLvl w:val="1"/>
    </w:pPr>
    <w:rPr>
      <w:rFonts w:ascii="Arial" w:hAnsi="Arial"/>
      <w:sz w:val="34"/>
      <w:szCs w:val="20"/>
    </w:rPr>
  </w:style>
  <w:style w:type="paragraph" w:styleId="958" w:customStyle="1">
    <w:name w:val="Заголовок 311"/>
    <w:basedOn w:val="1043"/>
    <w:next w:val="1043"/>
    <w:link w:val="1006"/>
    <w:uiPriority w:val="99"/>
    <w:pPr>
      <w:keepNext w:val="true"/>
      <w:pBdr/>
      <w:spacing w:after="60" w:before="240"/>
      <w:ind/>
      <w:outlineLvl w:val="2"/>
    </w:pPr>
    <w:rPr>
      <w:rFonts w:ascii="Arial" w:hAnsi="Arial"/>
      <w:sz w:val="30"/>
      <w:szCs w:val="20"/>
    </w:rPr>
  </w:style>
  <w:style w:type="paragraph" w:styleId="959" w:customStyle="1">
    <w:name w:val="Заголовок 411"/>
    <w:basedOn w:val="1043"/>
    <w:next w:val="1043"/>
    <w:link w:val="1007"/>
    <w:uiPriority w:val="99"/>
    <w:pPr>
      <w:keepNext w:val="true"/>
      <w:pBdr/>
      <w:spacing w:after="60" w:before="240"/>
      <w:ind/>
      <w:outlineLvl w:val="3"/>
    </w:pPr>
    <w:rPr>
      <w:rFonts w:ascii="Arial" w:hAnsi="Arial"/>
      <w:b/>
      <w:sz w:val="26"/>
      <w:szCs w:val="20"/>
    </w:rPr>
  </w:style>
  <w:style w:type="paragraph" w:styleId="960" w:customStyle="1">
    <w:name w:val="Заголовок 511"/>
    <w:link w:val="1008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</w:rPr>
  </w:style>
  <w:style w:type="paragraph" w:styleId="961" w:customStyle="1">
    <w:name w:val="Заголовок 611"/>
    <w:basedOn w:val="1043"/>
    <w:next w:val="1043"/>
    <w:link w:val="1009"/>
    <w:uiPriority w:val="99"/>
    <w:pPr>
      <w:keepNext w:val="true"/>
      <w:pBdr/>
      <w:spacing/>
      <w:ind w:right="588"/>
      <w:outlineLvl w:val="5"/>
    </w:pPr>
    <w:rPr>
      <w:rFonts w:ascii="Arial" w:hAnsi="Arial"/>
      <w:b/>
      <w:sz w:val="22"/>
      <w:szCs w:val="20"/>
    </w:rPr>
  </w:style>
  <w:style w:type="paragraph" w:styleId="962" w:customStyle="1">
    <w:name w:val="Заголовок 711"/>
    <w:link w:val="1010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</w:rPr>
  </w:style>
  <w:style w:type="paragraph" w:styleId="963" w:customStyle="1">
    <w:name w:val="Заголовок 811"/>
    <w:link w:val="1011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</w:rPr>
  </w:style>
  <w:style w:type="paragraph" w:styleId="964" w:customStyle="1">
    <w:name w:val="Заголовок 911"/>
    <w:link w:val="1012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</w:rPr>
  </w:style>
  <w:style w:type="paragraph" w:styleId="965" w:customStyle="1">
    <w:name w:val="Заголовок 12"/>
    <w:link w:val="825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/>
      <w:sz w:val="40"/>
      <w:szCs w:val="40"/>
    </w:rPr>
  </w:style>
  <w:style w:type="paragraph" w:styleId="966" w:customStyle="1">
    <w:name w:val="Заголовок 22"/>
    <w:link w:val="826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/>
      <w:sz w:val="34"/>
    </w:rPr>
  </w:style>
  <w:style w:type="paragraph" w:styleId="967" w:customStyle="1">
    <w:name w:val="Заголовок 32"/>
    <w:link w:val="968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/>
    </w:rPr>
  </w:style>
  <w:style w:type="character" w:styleId="968" w:customStyle="1">
    <w:name w:val="Heading 3 Char"/>
    <w:link w:val="967"/>
    <w:uiPriority w:val="99"/>
    <w:pPr>
      <w:pBdr/>
      <w:spacing/>
      <w:ind/>
    </w:pPr>
    <w:rPr>
      <w:rFonts w:ascii="Arial" w:hAnsi="Arial"/>
      <w:sz w:val="22"/>
    </w:rPr>
  </w:style>
  <w:style w:type="paragraph" w:styleId="969" w:customStyle="1">
    <w:name w:val="Заголовок 42"/>
    <w:link w:val="827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/>
      <w:b/>
      <w:bCs/>
      <w:sz w:val="26"/>
      <w:szCs w:val="26"/>
    </w:rPr>
  </w:style>
  <w:style w:type="paragraph" w:styleId="970" w:customStyle="1">
    <w:name w:val="Заголовок 52"/>
    <w:link w:val="828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bCs/>
      <w:sz w:val="24"/>
      <w:szCs w:val="24"/>
    </w:rPr>
  </w:style>
  <w:style w:type="paragraph" w:styleId="971" w:customStyle="1">
    <w:name w:val="Заголовок 62"/>
    <w:link w:val="829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bCs/>
    </w:rPr>
  </w:style>
  <w:style w:type="paragraph" w:styleId="972" w:customStyle="1">
    <w:name w:val="Заголовок 72"/>
    <w:link w:val="830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bCs/>
      <w:i/>
      <w:iCs/>
    </w:rPr>
  </w:style>
  <w:style w:type="paragraph" w:styleId="973" w:customStyle="1">
    <w:name w:val="Заголовок 82"/>
    <w:link w:val="831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iCs/>
    </w:rPr>
  </w:style>
  <w:style w:type="paragraph" w:styleId="974" w:customStyle="1">
    <w:name w:val="Заголовок 92"/>
    <w:link w:val="832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iCs/>
      <w:sz w:val="21"/>
      <w:szCs w:val="21"/>
    </w:rPr>
  </w:style>
  <w:style w:type="paragraph" w:styleId="975">
    <w:name w:val="List Paragraph"/>
    <w:basedOn w:val="798"/>
    <w:uiPriority w:val="99"/>
    <w:qFormat/>
    <w:pPr>
      <w:pBdr/>
      <w:spacing/>
      <w:ind w:left="720"/>
      <w:contextualSpacing w:val="true"/>
    </w:pPr>
  </w:style>
  <w:style w:type="paragraph" w:styleId="976">
    <w:name w:val="No Spacing"/>
    <w:uiPriority w:val="99"/>
    <w:qFormat/>
    <w:pPr>
      <w:pBdr/>
      <w:spacing/>
      <w:ind/>
    </w:pPr>
    <w:rPr>
      <w:lang w:val="uk-UA" w:eastAsia="en-US"/>
    </w:rPr>
  </w:style>
  <w:style w:type="paragraph" w:styleId="977">
    <w:name w:val="Title"/>
    <w:basedOn w:val="798"/>
    <w:link w:val="1013"/>
    <w:uiPriority w:val="99"/>
    <w:qFormat/>
    <w:pPr>
      <w:pBdr/>
      <w:spacing w:after="200" w:before="300"/>
      <w:ind/>
      <w:contextualSpacing w:val="true"/>
    </w:pPr>
    <w:rPr>
      <w:sz w:val="48"/>
      <w:lang w:eastAsia="ru-RU"/>
    </w:rPr>
  </w:style>
  <w:style w:type="character" w:styleId="978" w:customStyle="1">
    <w:name w:val="Title Char"/>
    <w:basedOn w:val="799"/>
    <w:uiPriority w:val="99"/>
    <w:pPr>
      <w:pBdr/>
      <w:spacing/>
      <w:ind/>
    </w:pPr>
    <w:rPr>
      <w:rFonts w:cs="Times New Roman"/>
      <w:sz w:val="48"/>
    </w:rPr>
  </w:style>
  <w:style w:type="paragraph" w:styleId="979">
    <w:name w:val="Subtitle"/>
    <w:basedOn w:val="798"/>
    <w:link w:val="1014"/>
    <w:uiPriority w:val="99"/>
    <w:qFormat/>
    <w:pPr>
      <w:pBdr/>
      <w:spacing w:after="200" w:before="200"/>
      <w:ind/>
    </w:pPr>
    <w:rPr>
      <w:sz w:val="24"/>
      <w:lang w:eastAsia="ru-RU"/>
    </w:rPr>
  </w:style>
  <w:style w:type="character" w:styleId="980" w:customStyle="1">
    <w:name w:val="Subtitle Char"/>
    <w:basedOn w:val="799"/>
    <w:uiPriority w:val="99"/>
    <w:pPr>
      <w:pBdr/>
      <w:spacing/>
      <w:ind/>
    </w:pPr>
    <w:rPr>
      <w:rFonts w:cs="Times New Roman"/>
      <w:sz w:val="24"/>
    </w:rPr>
  </w:style>
  <w:style w:type="paragraph" w:styleId="981">
    <w:name w:val="Quote"/>
    <w:basedOn w:val="798"/>
    <w:link w:val="1015"/>
    <w:uiPriority w:val="99"/>
    <w:qFormat/>
    <w:pPr>
      <w:pBdr/>
      <w:spacing/>
      <w:ind w:right="720" w:left="720"/>
    </w:pPr>
    <w:rPr>
      <w:i/>
    </w:rPr>
  </w:style>
  <w:style w:type="character" w:styleId="982" w:customStyle="1">
    <w:name w:val="Quote Char"/>
    <w:basedOn w:val="799"/>
    <w:uiPriority w:val="99"/>
    <w:pPr>
      <w:pBdr/>
      <w:spacing/>
      <w:ind/>
    </w:pPr>
    <w:rPr>
      <w:rFonts w:cs="Times New Roman"/>
      <w:i/>
    </w:rPr>
  </w:style>
  <w:style w:type="paragraph" w:styleId="983">
    <w:name w:val="Intense Quote"/>
    <w:basedOn w:val="798"/>
    <w:link w:val="1016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984" w:customStyle="1">
    <w:name w:val="Intense Quote Char"/>
    <w:basedOn w:val="799"/>
    <w:uiPriority w:val="99"/>
    <w:pPr>
      <w:pBdr/>
      <w:spacing/>
      <w:ind/>
    </w:pPr>
    <w:rPr>
      <w:rFonts w:cs="Times New Roman"/>
      <w:i/>
    </w:rPr>
  </w:style>
  <w:style w:type="paragraph" w:styleId="985" w:customStyle="1">
    <w:name w:val="Верхний колонтитул11"/>
    <w:link w:val="986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eastAsia="en-US"/>
    </w:rPr>
  </w:style>
  <w:style w:type="character" w:styleId="986" w:customStyle="1">
    <w:name w:val="Header Char"/>
    <w:link w:val="985"/>
    <w:uiPriority w:val="99"/>
    <w:pPr>
      <w:pBdr/>
      <w:spacing/>
      <w:ind/>
    </w:pPr>
    <w:rPr>
      <w:sz w:val="22"/>
      <w:lang w:val="ru-RU" w:eastAsia="en-US"/>
    </w:rPr>
  </w:style>
  <w:style w:type="paragraph" w:styleId="987" w:customStyle="1">
    <w:name w:val="Нижний колонтитул11"/>
    <w:link w:val="988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eastAsia="en-US"/>
    </w:rPr>
  </w:style>
  <w:style w:type="character" w:styleId="988" w:customStyle="1">
    <w:name w:val="Footer Char"/>
    <w:link w:val="987"/>
    <w:uiPriority w:val="99"/>
    <w:pPr>
      <w:pBdr/>
      <w:spacing/>
      <w:ind/>
    </w:pPr>
    <w:rPr>
      <w:sz w:val="22"/>
      <w:lang w:val="ru-RU" w:eastAsia="en-US"/>
    </w:rPr>
  </w:style>
  <w:style w:type="table" w:styleId="989">
    <w:name w:val="Table Grid"/>
    <w:basedOn w:val="800"/>
    <w:uiPriority w:val="99"/>
    <w:pPr>
      <w:pBdr/>
      <w:spacing/>
      <w:ind/>
    </w:pPr>
    <w:rPr>
      <w:sz w:val="20"/>
      <w:szCs w:val="20"/>
      <w:lang w:val="uk-UA" w:eastAsia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0">
    <w:name w:val="Hyperlink"/>
    <w:basedOn w:val="799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91">
    <w:name w:val="footnote text"/>
    <w:basedOn w:val="798"/>
    <w:link w:val="1042"/>
    <w:uiPriority w:val="99"/>
    <w:semiHidden/>
    <w:pPr>
      <w:pBdr/>
      <w:spacing w:after="40"/>
      <w:ind/>
    </w:pPr>
    <w:rPr>
      <w:lang w:eastAsia="ru-RU"/>
    </w:rPr>
  </w:style>
  <w:style w:type="character" w:styleId="992" w:customStyle="1">
    <w:name w:val="Footnote Text Char"/>
    <w:basedOn w:val="799"/>
    <w:uiPriority w:val="99"/>
    <w:pPr>
      <w:pBdr/>
      <w:spacing/>
      <w:ind/>
    </w:pPr>
    <w:rPr>
      <w:rFonts w:cs="Times New Roman"/>
      <w:sz w:val="18"/>
    </w:rPr>
  </w:style>
  <w:style w:type="character" w:styleId="993">
    <w:name w:val="footnote reference"/>
    <w:basedOn w:val="799"/>
    <w:uiPriority w:val="99"/>
    <w:pPr>
      <w:pBdr/>
      <w:spacing/>
      <w:ind/>
    </w:pPr>
    <w:rPr>
      <w:rFonts w:cs="Times New Roman"/>
      <w:vertAlign w:val="superscript"/>
    </w:rPr>
  </w:style>
  <w:style w:type="paragraph" w:styleId="994">
    <w:name w:val="toc 1"/>
    <w:basedOn w:val="798"/>
    <w:uiPriority w:val="99"/>
    <w:pPr>
      <w:pBdr/>
      <w:spacing w:after="57"/>
      <w:ind/>
    </w:pPr>
  </w:style>
  <w:style w:type="paragraph" w:styleId="995">
    <w:name w:val="toc 2"/>
    <w:basedOn w:val="798"/>
    <w:uiPriority w:val="99"/>
    <w:pPr>
      <w:pBdr/>
      <w:spacing w:after="57"/>
      <w:ind w:left="283"/>
    </w:pPr>
  </w:style>
  <w:style w:type="paragraph" w:styleId="996">
    <w:name w:val="toc 3"/>
    <w:basedOn w:val="798"/>
    <w:uiPriority w:val="99"/>
    <w:pPr>
      <w:pBdr/>
      <w:spacing w:after="57"/>
      <w:ind w:left="567"/>
    </w:pPr>
  </w:style>
  <w:style w:type="paragraph" w:styleId="997">
    <w:name w:val="toc 4"/>
    <w:basedOn w:val="798"/>
    <w:uiPriority w:val="99"/>
    <w:pPr>
      <w:pBdr/>
      <w:spacing w:after="57"/>
      <w:ind w:left="850"/>
    </w:pPr>
  </w:style>
  <w:style w:type="paragraph" w:styleId="998">
    <w:name w:val="toc 5"/>
    <w:basedOn w:val="798"/>
    <w:uiPriority w:val="99"/>
    <w:pPr>
      <w:pBdr/>
      <w:spacing w:after="57"/>
      <w:ind w:left="1134"/>
    </w:pPr>
  </w:style>
  <w:style w:type="paragraph" w:styleId="999">
    <w:name w:val="toc 6"/>
    <w:basedOn w:val="798"/>
    <w:uiPriority w:val="99"/>
    <w:pPr>
      <w:pBdr/>
      <w:spacing w:after="57"/>
      <w:ind w:left="1417"/>
    </w:pPr>
  </w:style>
  <w:style w:type="paragraph" w:styleId="1000">
    <w:name w:val="toc 7"/>
    <w:basedOn w:val="798"/>
    <w:uiPriority w:val="99"/>
    <w:pPr>
      <w:pBdr/>
      <w:spacing w:after="57"/>
      <w:ind w:left="1701"/>
    </w:pPr>
  </w:style>
  <w:style w:type="paragraph" w:styleId="1001">
    <w:name w:val="toc 8"/>
    <w:basedOn w:val="798"/>
    <w:uiPriority w:val="99"/>
    <w:pPr>
      <w:pBdr/>
      <w:spacing w:after="57"/>
      <w:ind w:left="1984"/>
    </w:pPr>
  </w:style>
  <w:style w:type="paragraph" w:styleId="1002">
    <w:name w:val="toc 9"/>
    <w:basedOn w:val="798"/>
    <w:uiPriority w:val="99"/>
    <w:pPr>
      <w:pBdr/>
      <w:spacing w:after="57"/>
      <w:ind w:left="2268"/>
    </w:pPr>
  </w:style>
  <w:style w:type="paragraph" w:styleId="1003">
    <w:name w:val="TOC Heading"/>
    <w:basedOn w:val="817"/>
    <w:uiPriority w:val="99"/>
    <w:qFormat/>
    <w:pPr>
      <w:keepNext w:val="false"/>
      <w:keepLines w:val="false"/>
      <w:pBdr/>
      <w:spacing w:after="0" w:before="0"/>
      <w:ind/>
      <w:outlineLvl w:val="9"/>
    </w:pPr>
    <w:rPr>
      <w:rFonts w:ascii="Times New Roman" w:hAnsi="Times New Roman" w:cs="Times New Roman"/>
      <w:sz w:val="22"/>
      <w:szCs w:val="22"/>
    </w:rPr>
  </w:style>
  <w:style w:type="character" w:styleId="1004" w:customStyle="1">
    <w:name w:val="Заголовок 1 Знак"/>
    <w:link w:val="956"/>
    <w:uiPriority w:val="99"/>
    <w:pPr>
      <w:pBdr/>
      <w:spacing/>
      <w:ind/>
    </w:pPr>
    <w:rPr>
      <w:rFonts w:ascii="Arial" w:hAnsi="Arial"/>
      <w:sz w:val="40"/>
    </w:rPr>
  </w:style>
  <w:style w:type="character" w:styleId="1005" w:customStyle="1">
    <w:name w:val="Заголовок 2 Знак"/>
    <w:link w:val="957"/>
    <w:uiPriority w:val="99"/>
    <w:pPr>
      <w:pBdr/>
      <w:spacing/>
      <w:ind/>
    </w:pPr>
    <w:rPr>
      <w:rFonts w:ascii="Arial" w:hAnsi="Arial"/>
      <w:sz w:val="34"/>
    </w:rPr>
  </w:style>
  <w:style w:type="character" w:styleId="1006" w:customStyle="1">
    <w:name w:val="Заголовок 3 Знак"/>
    <w:link w:val="958"/>
    <w:uiPriority w:val="99"/>
    <w:pPr>
      <w:pBdr/>
      <w:spacing/>
      <w:ind/>
    </w:pPr>
    <w:rPr>
      <w:rFonts w:ascii="Arial" w:hAnsi="Arial"/>
      <w:sz w:val="30"/>
    </w:rPr>
  </w:style>
  <w:style w:type="character" w:styleId="1007" w:customStyle="1">
    <w:name w:val="Заголовок 4 Знак"/>
    <w:link w:val="959"/>
    <w:uiPriority w:val="99"/>
    <w:pPr>
      <w:pBdr/>
      <w:spacing/>
      <w:ind/>
    </w:pPr>
    <w:rPr>
      <w:rFonts w:ascii="Arial" w:hAnsi="Arial"/>
      <w:b/>
      <w:sz w:val="26"/>
    </w:rPr>
  </w:style>
  <w:style w:type="character" w:styleId="1008" w:customStyle="1">
    <w:name w:val="Заголовок 5 Знак"/>
    <w:link w:val="960"/>
    <w:uiPriority w:val="99"/>
    <w:pPr>
      <w:pBdr/>
      <w:spacing/>
      <w:ind/>
    </w:pPr>
    <w:rPr>
      <w:rFonts w:ascii="Arial" w:hAnsi="Arial"/>
      <w:b/>
      <w:sz w:val="22"/>
    </w:rPr>
  </w:style>
  <w:style w:type="character" w:styleId="1009" w:customStyle="1">
    <w:name w:val="Заголовок 6 Знак"/>
    <w:link w:val="961"/>
    <w:uiPriority w:val="99"/>
    <w:pPr>
      <w:pBdr/>
      <w:spacing/>
      <w:ind/>
    </w:pPr>
    <w:rPr>
      <w:rFonts w:ascii="Arial" w:hAnsi="Arial"/>
      <w:b/>
      <w:sz w:val="22"/>
    </w:rPr>
  </w:style>
  <w:style w:type="character" w:styleId="1010" w:customStyle="1">
    <w:name w:val="Заголовок 7 Знак"/>
    <w:link w:val="962"/>
    <w:uiPriority w:val="99"/>
    <w:pPr>
      <w:pBdr/>
      <w:spacing/>
      <w:ind/>
    </w:pPr>
    <w:rPr>
      <w:rFonts w:ascii="Arial" w:hAnsi="Arial"/>
      <w:b/>
      <w:i/>
      <w:sz w:val="22"/>
    </w:rPr>
  </w:style>
  <w:style w:type="character" w:styleId="1011" w:customStyle="1">
    <w:name w:val="Заголовок 8 Знак"/>
    <w:link w:val="963"/>
    <w:uiPriority w:val="99"/>
    <w:pPr>
      <w:pBdr/>
      <w:spacing/>
      <w:ind/>
    </w:pPr>
    <w:rPr>
      <w:rFonts w:ascii="Arial" w:hAnsi="Arial"/>
      <w:i/>
      <w:sz w:val="22"/>
    </w:rPr>
  </w:style>
  <w:style w:type="character" w:styleId="1012" w:customStyle="1">
    <w:name w:val="Заголовок 9 Знак"/>
    <w:link w:val="964"/>
    <w:uiPriority w:val="99"/>
    <w:pPr>
      <w:pBdr/>
      <w:spacing/>
      <w:ind/>
    </w:pPr>
    <w:rPr>
      <w:rFonts w:ascii="Arial" w:hAnsi="Arial"/>
      <w:i/>
      <w:sz w:val="22"/>
    </w:rPr>
  </w:style>
  <w:style w:type="character" w:styleId="1013" w:customStyle="1">
    <w:name w:val="Название Знак"/>
    <w:link w:val="977"/>
    <w:uiPriority w:val="99"/>
    <w:pPr>
      <w:pBdr/>
      <w:spacing/>
      <w:ind/>
    </w:pPr>
    <w:rPr>
      <w:sz w:val="48"/>
    </w:rPr>
  </w:style>
  <w:style w:type="character" w:styleId="1014" w:customStyle="1">
    <w:name w:val="Подзаголовок Знак"/>
    <w:link w:val="979"/>
    <w:uiPriority w:val="99"/>
    <w:pPr>
      <w:pBdr/>
      <w:spacing/>
      <w:ind/>
    </w:pPr>
    <w:rPr>
      <w:sz w:val="24"/>
    </w:rPr>
  </w:style>
  <w:style w:type="character" w:styleId="1015" w:customStyle="1">
    <w:name w:val="Цитата 2 Знак"/>
    <w:link w:val="981"/>
    <w:uiPriority w:val="99"/>
    <w:pPr>
      <w:pBdr/>
      <w:spacing/>
      <w:ind/>
    </w:pPr>
    <w:rPr>
      <w:i/>
      <w:sz w:val="22"/>
      <w:lang w:val="uk-UA" w:eastAsia="en-US"/>
    </w:rPr>
  </w:style>
  <w:style w:type="character" w:styleId="1016" w:customStyle="1">
    <w:name w:val="Выделенная цитата Знак"/>
    <w:link w:val="983"/>
    <w:uiPriority w:val="99"/>
    <w:pPr>
      <w:pBdr/>
      <w:spacing/>
      <w:ind/>
    </w:pPr>
    <w:rPr>
      <w:i/>
      <w:sz w:val="22"/>
      <w:shd w:val="clear" w:color="f2f2f2" w:fill="f2f2f2"/>
      <w:lang w:val="uk-UA" w:eastAsia="en-US"/>
    </w:rPr>
  </w:style>
  <w:style w:type="paragraph" w:styleId="1017" w:customStyle="1">
    <w:name w:val="Верхний колонтитул2"/>
    <w:link w:val="1018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en-US"/>
    </w:rPr>
  </w:style>
  <w:style w:type="character" w:styleId="1018" w:customStyle="1">
    <w:name w:val="Верхний колонтитул Знак"/>
    <w:link w:val="1017"/>
    <w:uiPriority w:val="99"/>
    <w:pPr>
      <w:pBdr/>
      <w:spacing/>
      <w:ind/>
    </w:pPr>
    <w:rPr>
      <w:sz w:val="22"/>
      <w:lang w:val="uk-UA" w:eastAsia="en-US"/>
    </w:rPr>
  </w:style>
  <w:style w:type="paragraph" w:styleId="1019" w:customStyle="1">
    <w:name w:val="Нижний колонтитул2"/>
    <w:link w:val="1020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en-US"/>
    </w:rPr>
  </w:style>
  <w:style w:type="character" w:styleId="1020" w:customStyle="1">
    <w:name w:val="Нижний колонтитул Знак"/>
    <w:link w:val="1019"/>
    <w:uiPriority w:val="99"/>
    <w:pPr>
      <w:pBdr/>
      <w:spacing/>
      <w:ind/>
    </w:pPr>
    <w:rPr>
      <w:sz w:val="22"/>
      <w:lang w:val="uk-UA" w:eastAsia="en-US"/>
    </w:rPr>
  </w:style>
  <w:style w:type="table" w:styleId="1021" w:customStyle="1">
    <w:name w:val="Lined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ned - Accent 1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ned - Accent 2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ned - Accent 3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ned - Accent 4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ned - Accent 5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ned - Accent 6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Bordered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Bordered - Accent 1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Bordered - Accent 2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Bordered - Accent 3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Bordered - Accent 4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Bordered - Accent 5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Bordered - Accent 6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Bordered &amp; Lined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 &amp; Lined - Accent 1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&amp; Lined - Accent 2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&amp; Lined - Accent 3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&amp; Lined - Accent 4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&amp; Lined - Accent 5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&amp; Lined - Accent 6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2" w:customStyle="1">
    <w:name w:val="Текст сноски Знак"/>
    <w:link w:val="991"/>
    <w:uiPriority w:val="99"/>
    <w:semiHidden/>
    <w:pPr>
      <w:pBdr/>
      <w:spacing/>
      <w:ind/>
    </w:pPr>
    <w:rPr>
      <w:sz w:val="22"/>
    </w:rPr>
  </w:style>
  <w:style w:type="paragraph" w:styleId="1043" w:customStyle="1">
    <w:name w:val="Звичайний"/>
    <w:uiPriority w:val="99"/>
    <w:pPr>
      <w:pBdr/>
      <w:spacing/>
      <w:ind/>
    </w:pPr>
    <w:rPr>
      <w:sz w:val="24"/>
      <w:szCs w:val="24"/>
    </w:rPr>
  </w:style>
  <w:style w:type="character" w:styleId="1044" w:customStyle="1">
    <w:name w:val="Шрифт абзацу за промовчанням"/>
    <w:uiPriority w:val="99"/>
    <w:semiHidden/>
    <w:pPr>
      <w:pBdr/>
      <w:spacing/>
      <w:ind/>
    </w:pPr>
  </w:style>
  <w:style w:type="table" w:styleId="1045" w:customStyle="1">
    <w:name w:val="Звичайна таблиця"/>
    <w:uiPriority w:val="99"/>
    <w:semiHidden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6" w:customStyle="1">
    <w:name w:val="Стандартний HTML"/>
    <w:basedOn w:val="1043"/>
    <w:link w:val="1056"/>
    <w:uiPriority w:val="9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  <w:szCs w:val="20"/>
    </w:rPr>
  </w:style>
  <w:style w:type="paragraph" w:styleId="1047" w:customStyle="1">
    <w:name w:val="Знак Знак Знак Знак Знак Знак Знак"/>
    <w:basedOn w:val="1043"/>
    <w:uiPriority w:val="99"/>
    <w:pPr>
      <w:pBdr/>
      <w:spacing/>
      <w:ind/>
    </w:pPr>
    <w:rPr>
      <w:rFonts w:ascii="Verdana" w:hAnsi="Verdana"/>
      <w:sz w:val="20"/>
      <w:szCs w:val="20"/>
      <w:lang w:val="en-US" w:eastAsia="en-US"/>
    </w:rPr>
  </w:style>
  <w:style w:type="paragraph" w:styleId="1048">
    <w:name w:val="Plain Text"/>
    <w:basedOn w:val="1043"/>
    <w:link w:val="1049"/>
    <w:uiPriority w:val="99"/>
    <w:pPr>
      <w:pBdr/>
      <w:spacing/>
      <w:ind/>
    </w:pPr>
    <w:rPr>
      <w:rFonts w:ascii="Courier New" w:hAnsi="Courier New"/>
      <w:sz w:val="20"/>
      <w:szCs w:val="20"/>
      <w:lang w:val="uk-UA"/>
    </w:rPr>
  </w:style>
  <w:style w:type="character" w:styleId="1049" w:customStyle="1">
    <w:name w:val="Текст Знак"/>
    <w:basedOn w:val="799"/>
    <w:link w:val="1048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en-US"/>
    </w:rPr>
  </w:style>
  <w:style w:type="paragraph" w:styleId="1050" w:customStyle="1">
    <w:name w:val="Верхній колонтитул"/>
    <w:basedOn w:val="1043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51" w:customStyle="1">
    <w:name w:val="Номер сторінки"/>
    <w:basedOn w:val="1044"/>
    <w:uiPriority w:val="99"/>
    <w:pPr>
      <w:pBdr/>
      <w:spacing/>
      <w:ind/>
    </w:pPr>
    <w:rPr>
      <w:rFonts w:cs="Times New Roman"/>
    </w:rPr>
  </w:style>
  <w:style w:type="table" w:styleId="1052" w:customStyle="1">
    <w:name w:val="Сітка таблиці"/>
    <w:basedOn w:val="1045"/>
    <w:uiPriority w:val="99"/>
    <w:pPr>
      <w:widowControl w:val="false"/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3" w:customStyle="1">
    <w:name w:val="Нижній колонтитул"/>
    <w:basedOn w:val="1043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54" w:customStyle="1">
    <w:name w:val="Основний текст з відступом 3"/>
    <w:basedOn w:val="1043"/>
    <w:uiPriority w:val="99"/>
    <w:pPr>
      <w:pBdr/>
      <w:spacing w:after="120"/>
      <w:ind w:left="283"/>
    </w:pPr>
    <w:rPr>
      <w:sz w:val="16"/>
      <w:szCs w:val="16"/>
      <w:lang w:val="uk-UA"/>
    </w:rPr>
  </w:style>
  <w:style w:type="paragraph" w:styleId="1055" w:customStyle="1">
    <w:name w:val="Основний текст з відступом"/>
    <w:basedOn w:val="1043"/>
    <w:uiPriority w:val="99"/>
    <w:pPr>
      <w:pBdr/>
      <w:spacing w:after="120"/>
      <w:ind w:left="283"/>
    </w:pPr>
    <w:rPr>
      <w:sz w:val="20"/>
      <w:szCs w:val="20"/>
      <w:lang w:val="en-US"/>
    </w:rPr>
  </w:style>
  <w:style w:type="character" w:styleId="1056" w:customStyle="1">
    <w:name w:val="Стандартний HTML Знак"/>
    <w:link w:val="1046"/>
    <w:uiPriority w:val="99"/>
    <w:pPr>
      <w:pBdr/>
      <w:spacing/>
      <w:ind/>
    </w:pPr>
    <w:rPr>
      <w:rFonts w:ascii="Courier New" w:hAnsi="Courier New"/>
      <w:lang w:val="ru-RU" w:eastAsia="ru-RU"/>
    </w:rPr>
  </w:style>
  <w:style w:type="paragraph" w:styleId="1057" w:customStyle="1">
    <w:name w:val="Текст у виносці"/>
    <w:basedOn w:val="1043"/>
    <w:link w:val="1058"/>
    <w:uiPriority w:val="99"/>
    <w:pPr>
      <w:pBdr/>
      <w:spacing/>
      <w:ind/>
    </w:pPr>
    <w:rPr>
      <w:rFonts w:ascii="Segoe UI" w:hAnsi="Segoe UI"/>
      <w:sz w:val="18"/>
      <w:szCs w:val="20"/>
    </w:rPr>
  </w:style>
  <w:style w:type="character" w:styleId="1058" w:customStyle="1">
    <w:name w:val="Текст у виносці Знак"/>
    <w:link w:val="1057"/>
    <w:uiPriority w:val="99"/>
    <w:pPr>
      <w:pBdr/>
      <w:spacing/>
      <w:ind/>
    </w:pPr>
    <w:rPr>
      <w:rFonts w:ascii="Segoe UI" w:hAnsi="Segoe UI"/>
      <w:sz w:val="18"/>
      <w:lang w:val="ru-RU" w:eastAsia="ru-RU"/>
    </w:rPr>
  </w:style>
  <w:style w:type="character" w:styleId="1059" w:customStyle="1">
    <w:name w:val="Виділення"/>
    <w:uiPriority w:val="99"/>
    <w:pPr>
      <w:pBdr/>
      <w:spacing/>
      <w:ind/>
    </w:pPr>
    <w:rPr>
      <w:i/>
    </w:rPr>
  </w:style>
  <w:style w:type="paragraph" w:styleId="1060" w:customStyle="1">
    <w:name w:val="rvps17"/>
    <w:basedOn w:val="1043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character" w:styleId="1061" w:customStyle="1">
    <w:name w:val="rvts23"/>
    <w:uiPriority w:val="99"/>
    <w:pPr>
      <w:pBdr/>
      <w:spacing/>
      <w:ind/>
    </w:pPr>
  </w:style>
  <w:style w:type="character" w:styleId="1062" w:customStyle="1">
    <w:name w:val="rvts64"/>
    <w:uiPriority w:val="99"/>
    <w:pPr>
      <w:pBdr/>
      <w:spacing/>
      <w:ind/>
    </w:pPr>
  </w:style>
  <w:style w:type="paragraph" w:styleId="1063" w:customStyle="1">
    <w:name w:val="rvps7"/>
    <w:basedOn w:val="1043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character" w:styleId="1064" w:customStyle="1">
    <w:name w:val="rvts9"/>
    <w:uiPriority w:val="99"/>
    <w:pPr>
      <w:pBdr/>
      <w:spacing/>
      <w:ind/>
    </w:pPr>
  </w:style>
  <w:style w:type="paragraph" w:styleId="1065" w:customStyle="1">
    <w:name w:val="rvps6"/>
    <w:basedOn w:val="1043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paragraph" w:styleId="1066">
    <w:name w:val="Balloon Text"/>
    <w:basedOn w:val="798"/>
    <w:link w:val="1067"/>
    <w:uiPriority w:val="99"/>
    <w:semiHidden/>
    <w:pPr>
      <w:pBdr/>
      <w:spacing/>
      <w:ind/>
    </w:pPr>
    <w:rPr>
      <w:rFonts w:ascii="Segoe UI" w:hAnsi="Segoe UI"/>
      <w:sz w:val="18"/>
      <w:szCs w:val="18"/>
      <w:lang w:eastAsia="ru-RU"/>
    </w:rPr>
  </w:style>
  <w:style w:type="character" w:styleId="1067" w:customStyle="1">
    <w:name w:val="Текст выноски Знак"/>
    <w:basedOn w:val="799"/>
    <w:link w:val="1066"/>
    <w:uiPriority w:val="99"/>
    <w:semiHidden/>
    <w:pPr>
      <w:pBdr/>
      <w:spacing/>
      <w:ind/>
    </w:pPr>
    <w:rPr>
      <w:rFonts w:ascii="Segoe UI" w:hAnsi="Segoe UI" w:cs="Times New Roman"/>
      <w:sz w:val="18"/>
    </w:rPr>
  </w:style>
  <w:style w:type="paragraph" w:styleId="1068" w:customStyle="1">
    <w:name w:val="Верхний колонтитул3"/>
    <w:basedOn w:val="798"/>
    <w:link w:val="1069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69" w:customStyle="1">
    <w:name w:val="Header Char1"/>
    <w:basedOn w:val="799"/>
    <w:link w:val="1068"/>
    <w:uiPriority w:val="99"/>
    <w:pPr>
      <w:pBdr/>
      <w:spacing/>
      <w:ind/>
    </w:pPr>
    <w:rPr>
      <w:rFonts w:cs="Times New Roman"/>
    </w:rPr>
  </w:style>
  <w:style w:type="paragraph" w:styleId="1070" w:customStyle="1">
    <w:name w:val="Нижний колонтитул3"/>
    <w:basedOn w:val="798"/>
    <w:link w:val="1071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71" w:customStyle="1">
    <w:name w:val="Footer Char1"/>
    <w:basedOn w:val="799"/>
    <w:link w:val="1070"/>
    <w:uiPriority w:val="99"/>
    <w:pPr>
      <w:pBdr/>
      <w:spacing/>
      <w:ind/>
    </w:pPr>
    <w:rPr>
      <w:rFonts w:cs="Times New Roman"/>
    </w:rPr>
  </w:style>
  <w:style w:type="paragraph" w:styleId="1072" w:customStyle="1">
    <w:name w:val="Heading 31"/>
    <w:basedOn w:val="798"/>
    <w:next w:val="798"/>
    <w:link w:val="1073"/>
    <w:uiPriority w:val="99"/>
    <w:pPr>
      <w:keepNext w:val="true"/>
      <w:pBdr/>
      <w:spacing w:after="60" w:before="240"/>
      <w:ind/>
      <w:outlineLvl w:val="2"/>
    </w:pPr>
    <w:rPr>
      <w:rFonts w:ascii="Cambria" w:hAnsi="Cambria"/>
      <w:b/>
      <w:lang w:eastAsia="ru-RU"/>
    </w:rPr>
  </w:style>
  <w:style w:type="character" w:styleId="1073" w:customStyle="1">
    <w:name w:val="Heading 3 Char1"/>
    <w:link w:val="1072"/>
    <w:uiPriority w:val="99"/>
    <w:pPr>
      <w:pBdr/>
      <w:spacing/>
      <w:ind/>
    </w:pPr>
    <w:rPr>
      <w:rFonts w:ascii="Cambria" w:hAnsi="Cambria"/>
      <w:b/>
      <w:sz w:val="20"/>
      <w:lang w:val="uk-UA" w:eastAsia="ru-RU"/>
    </w:rPr>
  </w:style>
  <w:style w:type="paragraph" w:styleId="1074" w:customStyle="1">
    <w:name w:val="Без интервала1"/>
    <w:basedOn w:val="798"/>
    <w:uiPriority w:val="99"/>
    <w:pPr>
      <w:pBdr/>
      <w:spacing/>
      <w:ind/>
    </w:pPr>
    <w:rPr>
      <w:sz w:val="24"/>
      <w:szCs w:val="32"/>
      <w:lang w:val="en-US"/>
    </w:rPr>
  </w:style>
  <w:style w:type="paragraph" w:styleId="1075" w:customStyle="1">
    <w:name w:val="ДинТекстТабл"/>
    <w:basedOn w:val="798"/>
    <w:uiPriority w:val="99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360"/>
      </w:tabs>
      <w:spacing/>
      <w:ind/>
      <w:jc w:val="both"/>
    </w:pPr>
    <w:rPr>
      <w:rFonts w:ascii="Times New Roman" w:hAnsi="Times New Roman" w:eastAsia="Times New Roman" w:cs="Times New Roman"/>
      <w:b/>
      <w:i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customXml" Target="../customXml/item4.xml" /><Relationship Id="rId18" Type="http://schemas.openxmlformats.org/officeDocument/2006/relationships/customXml" Target="../customXml/item5.xml" /><Relationship Id="rId19" Type="http://schemas.openxmlformats.org/officeDocument/2006/relationships/customXml" Target="../customXml/item6.xml" /><Relationship Id="rId20" Type="http://schemas.openxmlformats.org/officeDocument/2006/relationships/customXml" Target="../customXml/item7.xml" /><Relationship Id="rId21" Type="http://schemas.openxmlformats.org/officeDocument/2006/relationships/customXml" Target="../customXml/item8.xml" /><Relationship Id="rId22" Type="http://schemas.openxmlformats.org/officeDocument/2006/relationships/customXml" Target="../customXml/item9.xml" /><Relationship Id="rId23" Type="http://schemas.openxmlformats.org/officeDocument/2006/relationships/customXml" Target="../customXml/item10.xml" /><Relationship Id="rId24" Type="http://schemas.openxmlformats.org/officeDocument/2006/relationships/customXml" Target="../customXml/item1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10.xml><?xml version="1.0" encoding="utf-8"?>
<w:settings xmlns:w="http://schemas.openxmlformats.org/wordprocessingml/2006/main">
  <w:SpecialFormsHighlight w:val="c9c8ff"/>
</w:settings>
</file>

<file path=customXml/item1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w:settings xmlns:w="http://schemas.openxmlformats.org/wordprocessingml/2006/main">
  <w:SpecialFormsHighlight w:val="c9c8ff"/>
</w:settings>
</file>

<file path=customXml/item9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940120A-311E-43E6-8805-293032B67903}">
  <ds:schemaRefs>
    <ds:schemaRef ds:uri="http://schemas.openxmlformats.org/wordprocessingml/2006/main"/>
  </ds:schemaRefs>
</ds:datastoreItem>
</file>

<file path=customXml/itemProps10.xml><?xml version="1.0" encoding="utf-8"?>
<ds:datastoreItem xmlns:ds="http://schemas.openxmlformats.org/officeDocument/2006/customXml" ds:itemID="{42827AB5-EB5B-40FE-8594-1DE7C33CE94F}">
  <ds:schemaRefs>
    <ds:schemaRef ds:uri="http://schemas.openxmlformats.org/wordprocessingml/2006/main"/>
  </ds:schemaRefs>
</ds:datastoreItem>
</file>

<file path=customXml/itemProps11.xml><?xml version="1.0" encoding="utf-8"?>
<ds:datastoreItem xmlns:ds="http://schemas.openxmlformats.org/officeDocument/2006/customXml" ds:itemID="{909AE806-D512-4D47-9061-80EC14D2409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E5B2612-4DD0-49EA-A44A-05EECFD7F5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A2A9C2-5460-49DF-90CA-5EBEACBCF3FF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B494C987-E4BF-4538-87D8-49CA0E42ACDC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6ED564BE-95D2-4BD7-B923-72F828E6BC75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2D64943C-185B-4B50-9CC6-09C520DD8E8A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B59A14D3-03F2-4EC2-8414-8986B4C66AA2}">
  <ds:schemaRefs>
    <ds:schemaRef ds:uri="http://schemas.openxmlformats.org/wordprocessingml/2006/main"/>
  </ds:schemaRefs>
</ds:datastoreItem>
</file>

<file path=customXml/itemProps9.xml><?xml version="1.0" encoding="utf-8"?>
<ds:datastoreItem xmlns:ds="http://schemas.openxmlformats.org/officeDocument/2006/customXml" ds:itemID="{1D4CE3CB-440D-47FA-BC45-47A2F6C1EFE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37</cp:revision>
  <dcterms:created xsi:type="dcterms:W3CDTF">2024-04-19T08:41:00Z</dcterms:created>
  <dcterms:modified xsi:type="dcterms:W3CDTF">2024-12-22T11:17:19Z</dcterms:modified>
</cp:coreProperties>
</file>