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6"/>
        <w:pBdr/>
        <w:spacing w:after="0" w:afterAutospacing="0" w:before="0" w:beforeAutospacing="0" w:line="240" w:lineRule="auto"/>
        <w:ind w:firstLine="708" w:left="4956"/>
        <w:rPr>
          <w:color w:val="000000" w:themeColor="text1"/>
        </w:rPr>
      </w:pPr>
      <w:r>
        <w:rPr>
          <w:color w:val="000000" w:themeColor="text1"/>
          <w:sz w:val="28"/>
          <w:szCs w:val="28"/>
          <w:lang w:val="uk-UA"/>
        </w:rPr>
        <w:t xml:space="preserve">Додаток </w:t>
      </w:r>
      <w:r>
        <w:rPr>
          <w:color w:val="000000" w:themeColor="text1"/>
          <w:lang w:val="uk-UA"/>
        </w:rPr>
      </w:r>
      <w:r>
        <w:rPr>
          <w:color w:val="000000" w:themeColor="text1"/>
          <w:lang w:val="uk-UA"/>
        </w:rPr>
      </w:r>
    </w:p>
    <w:p>
      <w:pPr>
        <w:pStyle w:val="937"/>
        <w:pBdr/>
        <w:spacing w:after="0" w:afterAutospacing="0" w:before="0" w:beforeAutospacing="0" w:line="240" w:lineRule="auto"/>
        <w:ind w:firstLine="708" w:left="4956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до рішення </w:t>
      </w:r>
      <w:r>
        <w:rPr>
          <w:color w:val="000000" w:themeColor="text1"/>
          <w:sz w:val="28"/>
          <w:szCs w:val="28"/>
          <w:lang w:val="uk-UA"/>
        </w:rPr>
        <w:t xml:space="preserve">56 сесії  Менської </w:t>
        <w:tab/>
        <w:t xml:space="preserve">міської ради </w:t>
      </w:r>
      <w:r>
        <w:rPr>
          <w:color w:val="000000" w:themeColor="text1"/>
          <w:sz w:val="28"/>
          <w:szCs w:val="28"/>
          <w:lang w:val="uk-UA"/>
        </w:rPr>
        <w:t xml:space="preserve">8 скликання</w:t>
      </w:r>
      <w:r>
        <w:rPr>
          <w:color w:val="000000" w:themeColor="text1"/>
          <w:sz w:val="28"/>
          <w:szCs w:val="28"/>
          <w:lang w:val="uk-UA"/>
        </w:rPr>
      </w:r>
      <w:r>
        <w:rPr>
          <w:color w:val="000000" w:themeColor="text1"/>
          <w:sz w:val="28"/>
          <w:szCs w:val="28"/>
          <w:lang w:val="uk-UA"/>
        </w:rPr>
      </w:r>
    </w:p>
    <w:p>
      <w:pPr>
        <w:pStyle w:val="937"/>
        <w:pBdr/>
        <w:spacing w:after="0" w:afterAutospacing="0" w:before="0" w:beforeAutospacing="0" w:line="240" w:lineRule="auto"/>
        <w:ind w:firstLine="708" w:left="4956"/>
        <w:rPr>
          <w:color w:val="000000" w:themeColor="text1"/>
        </w:rPr>
      </w:pPr>
      <w:r>
        <w:rPr>
          <w:color w:val="000000" w:themeColor="text1"/>
          <w:sz w:val="28"/>
          <w:szCs w:val="28"/>
          <w:lang w:val="uk-UA"/>
        </w:rPr>
        <w:t xml:space="preserve">19 грудня </w:t>
      </w:r>
      <w:r>
        <w:rPr>
          <w:color w:val="000000" w:themeColor="text1"/>
          <w:sz w:val="28"/>
          <w:szCs w:val="28"/>
          <w:lang w:val="uk-UA"/>
        </w:rPr>
        <w:t xml:space="preserve">2024 року № 736</w:t>
      </w:r>
      <w:r>
        <w:rPr>
          <w:color w:val="000000" w:themeColor="text1"/>
          <w:lang w:val="uk-UA"/>
        </w:rPr>
      </w:r>
      <w:r>
        <w:rPr>
          <w:color w:val="000000" w:themeColor="text1"/>
          <w:lang w:val="uk-UA"/>
        </w:rPr>
      </w:r>
    </w:p>
    <w:p>
      <w:pPr>
        <w:pBdr/>
        <w:spacing w:after="0" w:line="240" w:lineRule="auto"/>
        <w:ind w:left="566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 w:hanging="36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 w:hanging="36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 w:hanging="36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 w:hanging="36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 w:hanging="36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 w:hanging="36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 w:hanging="36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 w:hanging="36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</w:r>
    </w:p>
    <w:p>
      <w:pPr>
        <w:pBdr/>
        <w:spacing w:after="0" w:line="240" w:lineRule="auto"/>
        <w:ind w:hanging="360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ПРОГРАМА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r>
    </w:p>
    <w:p>
      <w:pPr>
        <w:pBdr/>
        <w:spacing w:after="0" w:line="240" w:lineRule="auto"/>
        <w:ind w:hanging="360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розвитку культури Менської міської 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r>
    </w:p>
    <w:p>
      <w:pPr>
        <w:pBdr/>
        <w:spacing w:after="0" w:line="240" w:lineRule="auto"/>
        <w:ind w:hanging="360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територіальної громади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r>
    </w:p>
    <w:p>
      <w:pPr>
        <w:pBdr/>
        <w:spacing w:after="0" w:line="240" w:lineRule="auto"/>
        <w:ind w:hanging="360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на 2025-2027 роки</w:t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r>
    </w:p>
    <w:p>
      <w:pPr>
        <w:pBdr/>
        <w:spacing w:after="0" w:line="240" w:lineRule="auto"/>
        <w:ind w:hanging="360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</w:r>
    </w:p>
    <w:p>
      <w:pPr>
        <w:pBdr/>
        <w:spacing w:after="0" w:line="240" w:lineRule="auto"/>
        <w:ind w:hanging="36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</w:r>
    </w:p>
    <w:p>
      <w:pPr>
        <w:pBdr/>
        <w:spacing w:after="0" w:line="240" w:lineRule="auto"/>
        <w:ind w:hanging="36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 w:hanging="36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</w:r>
      <w:r>
        <w:rPr>
          <w:b/>
          <w:color w:val="000000" w:themeColor="text1"/>
        </w:rPr>
      </w:r>
      <w:r>
        <w:rPr>
          <w:b/>
          <w:color w:val="000000" w:themeColor="text1"/>
        </w:rPr>
      </w:r>
    </w:p>
    <w:p>
      <w:pPr>
        <w:pBdr/>
        <w:spacing w:after="0" w:line="240" w:lineRule="auto"/>
        <w:ind w:hanging="36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</w:r>
      <w:r>
        <w:rPr>
          <w:b/>
          <w:color w:val="000000" w:themeColor="text1"/>
        </w:rPr>
      </w:r>
      <w:r>
        <w:rPr>
          <w:b/>
          <w:color w:val="000000" w:themeColor="text1"/>
        </w:rPr>
      </w:r>
    </w:p>
    <w:p>
      <w:pPr>
        <w:pBdr/>
        <w:spacing w:after="0" w:line="240" w:lineRule="auto"/>
        <w:ind w:hanging="36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</w:r>
      <w:r>
        <w:rPr>
          <w:b/>
          <w:color w:val="000000" w:themeColor="text1"/>
        </w:rPr>
      </w:r>
      <w:r>
        <w:rPr>
          <w:b/>
          <w:color w:val="000000" w:themeColor="text1"/>
        </w:rPr>
      </w:r>
    </w:p>
    <w:p>
      <w:pPr>
        <w:pBdr/>
        <w:spacing w:after="0" w:line="240" w:lineRule="auto"/>
        <w:ind w:hanging="36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</w:r>
      <w:r>
        <w:rPr>
          <w:b/>
          <w:color w:val="000000" w:themeColor="text1"/>
        </w:rPr>
      </w:r>
      <w:r>
        <w:rPr>
          <w:b/>
          <w:color w:val="000000" w:themeColor="text1"/>
        </w:rPr>
      </w:r>
    </w:p>
    <w:p>
      <w:pPr>
        <w:pBdr/>
        <w:spacing w:after="0" w:line="240" w:lineRule="auto"/>
        <w:ind w:hanging="36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</w:r>
      <w:r>
        <w:rPr>
          <w:b/>
          <w:color w:val="000000" w:themeColor="text1"/>
        </w:rPr>
      </w:r>
      <w:r>
        <w:rPr>
          <w:b/>
          <w:color w:val="000000" w:themeColor="text1"/>
        </w:rPr>
      </w:r>
    </w:p>
    <w:p>
      <w:pPr>
        <w:pBdr/>
        <w:spacing w:after="0" w:line="240" w:lineRule="auto"/>
        <w:ind w:hanging="36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</w:r>
      <w:r>
        <w:rPr>
          <w:b/>
          <w:color w:val="000000" w:themeColor="text1"/>
        </w:rPr>
      </w:r>
      <w:r>
        <w:rPr>
          <w:b/>
          <w:color w:val="000000" w:themeColor="text1"/>
        </w:rPr>
      </w:r>
    </w:p>
    <w:p>
      <w:pPr>
        <w:pBdr/>
        <w:spacing w:after="0" w:line="240" w:lineRule="auto"/>
        <w:ind w:hanging="36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</w:r>
      <w:r>
        <w:rPr>
          <w:b/>
          <w:color w:val="000000" w:themeColor="text1"/>
        </w:rPr>
      </w:r>
      <w:r>
        <w:rPr>
          <w:b/>
          <w:color w:val="000000" w:themeColor="text1"/>
        </w:rPr>
      </w:r>
    </w:p>
    <w:p>
      <w:pPr>
        <w:pBdr/>
        <w:spacing w:after="0" w:line="240" w:lineRule="auto"/>
        <w:ind w:hanging="360"/>
        <w:jc w:val="center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/>
        <w:spacing w:after="0" w:line="240" w:lineRule="auto"/>
        <w:ind w:hanging="360"/>
        <w:jc w:val="center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/>
        <w:spacing w:after="0" w:line="240" w:lineRule="auto"/>
        <w:ind w:hanging="360"/>
        <w:jc w:val="center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/>
        <w:spacing w:after="0" w:line="240" w:lineRule="auto"/>
        <w:ind w:hanging="36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 w:hanging="36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 w:hanging="36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 w:hanging="36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 w:hanging="36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 w:hanging="36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 w:hanging="36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 w:hanging="36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 w:hanging="36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 w:hanging="36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 w:hanging="36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 Мена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 w:hanging="36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2024 рік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 w:hanging="360"/>
        <w:jc w:val="center"/>
        <w:rPr>
          <w:color w:val="000000" w:themeColor="text1"/>
        </w:rPr>
        <w:sectPr>
          <w:headerReference w:type="default" r:id="rId9"/>
          <w:headerReference w:type="first" r:id="rId10"/>
          <w:footerReference w:type="default" r:id="rId12"/>
          <w:footerReference w:type="first" r:id="rId13"/>
          <w:footnotePr/>
          <w:endnotePr/>
          <w:type w:val="nextPage"/>
          <w:pgSz w:h="16840" w:orient="portrait" w:w="11910"/>
          <w:pgMar w:top="1040" w:right="853" w:bottom="280" w:left="1600" w:header="708" w:footer="708" w:gutter="0"/>
          <w:cols w:num="1" w:sep="0" w:space="720" w:equalWidth="1"/>
          <w:titlePg/>
        </w:sect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/>
        <w:spacing w:after="0" w:line="240" w:lineRule="auto"/>
        <w:ind w:hanging="36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ПАСПОРТ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 w:hanging="36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Програми розвитку культури Менської міської територіальної громади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 w:hanging="36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на 2025-2027 роки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tbl>
      <w:tblPr>
        <w:tblW w:w="10632" w:type="dxa"/>
        <w:tblInd w:w="-71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77"/>
        <w:gridCol w:w="6946"/>
      </w:tblGrid>
      <w:tr>
        <w:trPr>
          <w:trHeight w:val="423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hanging="3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/>
            <w:tcW w:w="2977" w:type="dxa"/>
            <w:textDirection w:val="lrTb"/>
            <w:noWrap w:val="false"/>
          </w:tcPr>
          <w:p>
            <w:pPr>
              <w:pBdr/>
              <w:spacing w:after="0" w:line="240" w:lineRule="auto"/>
              <w:ind w:hanging="3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Розробник Програми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/>
            <w:tcW w:w="6946" w:type="dxa"/>
            <w:textDirection w:val="lrTb"/>
            <w:noWrap w:val="false"/>
          </w:tcPr>
          <w:p>
            <w:pPr>
              <w:pBdr/>
              <w:spacing w:after="0" w:line="240" w:lineRule="auto"/>
              <w:ind w:hanging="3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Відділ культури Менської міської ради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rPr>
          <w:trHeight w:val="1621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hanging="3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/>
            <w:tcW w:w="2977" w:type="dxa"/>
            <w:textDirection w:val="lrTb"/>
            <w:noWrap w:val="false"/>
          </w:tcPr>
          <w:p>
            <w:pPr>
              <w:pBdr/>
              <w:spacing w:after="0" w:line="240" w:lineRule="auto"/>
              <w:ind w:hanging="3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Нормативно-правові підстави для розро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бки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Програми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/>
            <w:tcW w:w="6946" w:type="dxa"/>
            <w:textDirection w:val="lrTb"/>
            <w:noWrap w:val="false"/>
          </w:tcPr>
          <w:p>
            <w:pPr>
              <w:pBdr/>
              <w:spacing w:after="0" w:line="240" w:lineRule="auto"/>
              <w:ind w:hanging="3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Конституція України, закони України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місцеві державні адміністрації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місцеве самоврядування в Україні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культуру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бібліотеки і бібліотечну справу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музеї та музейну справу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охорону культурної спадщини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туризм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rPr>
          <w:trHeight w:val="1286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hanging="3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/>
            <w:tcW w:w="2977" w:type="dxa"/>
            <w:textDirection w:val="lrTb"/>
            <w:noWrap w:val="false"/>
          </w:tcPr>
          <w:p>
            <w:pPr>
              <w:pBdr/>
              <w:spacing w:after="0" w:line="240" w:lineRule="auto"/>
              <w:ind w:hanging="3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Співрозробники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 w:hanging="3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Програми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/>
            <w:tcW w:w="6946" w:type="dxa"/>
            <w:textDirection w:val="lrTb"/>
            <w:noWrap w:val="false"/>
          </w:tcPr>
          <w:p>
            <w:pPr>
              <w:pBdr/>
              <w:spacing w:after="0" w:line="240" w:lineRule="auto"/>
              <w:ind w:hanging="3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Комунальні заклади: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 w:hanging="3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комунальний заклад «Менський будинок культури»;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 w:hanging="3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комунальний заклад «Менська публічна бібліотека»;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 w:hanging="3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комунальний заклад «Центр культури та дозвілля молоді»;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 w:hanging="3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комунальний заклад «Менський краєзнавчий музей ім. В.Ф.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Покотила»;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 w:hanging="3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комунальний заклад «Менська школа мистецтв»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rPr>
          <w:trHeight w:val="644"/>
        </w:trPr>
        <w:tc>
          <w:tcPr>
            <w:tcBorders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hanging="3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 w:after="0" w:line="240" w:lineRule="auto"/>
              <w:ind w:hanging="3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Відповідальний виконавець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6946" w:type="dxa"/>
            <w:textDirection w:val="lrTb"/>
            <w:noWrap w:val="false"/>
          </w:tcPr>
          <w:p>
            <w:pPr>
              <w:pBdr/>
              <w:spacing w:after="0" w:line="240" w:lineRule="auto"/>
              <w:ind w:hanging="3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Відділ культури Менської міської ради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rPr>
          <w:trHeight w:val="23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hanging="3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 w:after="0" w:line="240" w:lineRule="auto"/>
              <w:ind w:hanging="3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Учасники Програми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6" w:type="dxa"/>
            <w:textDirection w:val="lrTb"/>
            <w:noWrap w:val="false"/>
          </w:tcPr>
          <w:p>
            <w:pPr>
              <w:pBdr/>
              <w:spacing w:after="0" w:line="240" w:lineRule="auto"/>
              <w:ind w:hanging="3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Відділ культури Менської міської ради, комунальний       заклад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Менський будинок культури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комунальний заклад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Менська публічна бібліотека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комунальний заклад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Центр культури та дозвілля молоді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комунальний заклад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Менський краєзнавчий музей ім. В.Ф.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Покотила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комунальний заклад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Менська школа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мистецтв»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 w:hanging="3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енська міська рада та її структурні підрозділи, інститути громадянського суспільства (за згодою)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rPr>
          <w:trHeight w:val="6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hanging="3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 w:after="0" w:line="240" w:lineRule="auto"/>
              <w:ind w:hanging="3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Термін реалізації Програми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6" w:type="dxa"/>
            <w:textDirection w:val="lrTb"/>
            <w:noWrap w:val="false"/>
          </w:tcPr>
          <w:p>
            <w:pPr>
              <w:pBdr/>
              <w:spacing w:after="0" w:line="240" w:lineRule="auto"/>
              <w:ind w:hanging="3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– 2027 роки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r>
          </w:p>
        </w:tc>
      </w:tr>
      <w:tr>
        <w:trPr>
          <w:trHeight w:val="1336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hanging="3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/>
            <w:tcW w:w="2977" w:type="dxa"/>
            <w:textDirection w:val="lrTb"/>
            <w:noWrap w:val="false"/>
          </w:tcPr>
          <w:p>
            <w:pPr>
              <w:pBdr/>
              <w:spacing w:after="0" w:line="240" w:lineRule="auto"/>
              <w:ind w:hanging="3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Обсяги та джерела фінансування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 w:hanging="3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2025-2027 роки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/>
            <w:tcW w:w="6946" w:type="dxa"/>
            <w:textDirection w:val="lrTb"/>
            <w:noWrap w:val="false"/>
          </w:tcPr>
          <w:p>
            <w:pPr>
              <w:pBdr/>
              <w:spacing w:after="0" w:line="240" w:lineRule="auto"/>
              <w:ind w:hanging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    36137,6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тис.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грн. з бюджету Менської міської територіальної громади та інших незаборонених законодавством джерел: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 w:hanging="3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2025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рік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- 6906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,0 тис. грн.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r>
          </w:p>
          <w:p>
            <w:pPr>
              <w:pBdr/>
              <w:spacing w:after="0" w:line="240" w:lineRule="auto"/>
              <w:ind w:hanging="3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2026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рік 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14121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,7 тис. грн.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 w:hanging="3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рік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- 15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109,9 тис. грн.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rPr>
          <w:trHeight w:val="317"/>
        </w:trPr>
        <w:tc>
          <w:tcPr>
            <w:tcBorders>
              <w:top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hanging="3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 w:after="0" w:line="240" w:lineRule="auto"/>
              <w:ind w:hanging="3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Очікувані результати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</w:tcBorders>
            <w:tcW w:w="6946" w:type="dxa"/>
            <w:textDirection w:val="lrTb"/>
            <w:noWrap w:val="false"/>
          </w:tcPr>
          <w:p>
            <w:pPr>
              <w:pBdr/>
              <w:spacing w:after="0" w:line="240" w:lineRule="auto"/>
              <w:ind w:hanging="3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оліпш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ення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надання населенню культурно-мистецьких, масово-просвітницьких та бібліотечно-інформаційних послуг, підвищ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ення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рол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культури у контексті формування позитивного іміджу громади, забезпе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чення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послідовн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ого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розвит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ку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сфери культури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 w:firstLine="0"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pBdr/>
        <w:shd w:val="nil"/>
        <w:spacing/>
        <w:ind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 w:clear="all"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numPr>
          <w:ilvl w:val="0"/>
          <w:numId w:val="1"/>
        </w:numPr>
        <w:pBdr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Визначення проблеми, на вирішення якої спрямована Програма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suppressLineNumbers w:val="false"/>
        <w:pBdr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розробленні Програми розвитку культури Менської міської територіальної громади на 2025-2027 роки (далі – Програма) враховувалось фундаментальне значення культури в суспільному житті громади та туризму як одного  чинників економічного зростання громади.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uppressLineNumbers w:val="false"/>
        <w:pBdr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Програмі  визначено  основні  заходи  щодо  розвитку напрямів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«Культура», «Туризм»,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завдань, зазначених в указах Президента України, постановах Верховної Ради України, нормативних актах Кабінету Міністрів України, Міністерства культури та стратегічних комунікацій України, рішеннях Менської міської ради.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uto"/>
        <w:ind w:right="0" w:firstLine="567" w:left="0"/>
        <w:jc w:val="both"/>
        <w:rPr>
          <w:color w:val="000000" w:themeColor="text1"/>
          <w:sz w:val="22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Мережа закладів, що створює умови для творчого розвитку особистості, підвищення культурного рівня, естетичного виховання громадян, доступності мистецької освіти та задоволення культурних потреб населення Менської громади, складається з 5 комунальних заклад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ів: «Менський будинок культури», «Менська публічна бібліотека», «Центр культури та дозвілля молоді», «Менський краєзнавчий музей ім. В.Ф. Покотила», «Менська школа мистецтв».</w:t>
      </w:r>
      <w:r>
        <w:rPr>
          <w:color w:val="000000" w:themeColor="text1"/>
          <w:sz w:val="22"/>
          <w:szCs w:val="28"/>
        </w:rPr>
      </w:r>
      <w:r>
        <w:rPr>
          <w:color w:val="000000" w:themeColor="text1"/>
          <w:sz w:val="22"/>
          <w:szCs w:val="28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uto"/>
        <w:ind w:right="0" w:firstLine="567" w:left="0"/>
        <w:jc w:val="both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Основними проблемами в галузі культури на сьогоднішній день є: </w:t>
      </w:r>
      <w:r>
        <w:rPr>
          <w:color w:val="000000" w:themeColor="text1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uto"/>
        <w:ind w:right="0" w:firstLine="567" w:left="0"/>
        <w:jc w:val="both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- створення якісного доступного культурного продукту для різних соціальних груп населення;</w:t>
      </w:r>
      <w:r>
        <w:rPr>
          <w:color w:val="000000" w:themeColor="text1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uto"/>
        <w:ind w:right="0" w:firstLine="567" w:left="0"/>
        <w:jc w:val="both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- значний ступінь зношеності основних засобів закладів культури та недостатнє використання певних інноваційних досягнень, впровадження енергоефективної модернізації та санації закладів культури; </w:t>
      </w:r>
      <w:r>
        <w:rPr>
          <w:color w:val="000000" w:themeColor="text1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uto"/>
        <w:ind w:right="0" w:firstLine="567" w:left="0"/>
        <w:jc w:val="both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- недостатній рівень знань з культурного маркетингу та менеджменту, фандрейзингу та стратегічного планування для розвитку кожного закладу; </w:t>
      </w:r>
      <w:r>
        <w:rPr>
          <w:color w:val="000000" w:themeColor="text1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uto"/>
        <w:ind w:right="0" w:firstLine="567" w:left="0"/>
        <w:jc w:val="both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- слабка культурно-соціальна активність мешканців територіальної громади;</w:t>
      </w:r>
      <w:r>
        <w:rPr>
          <w:color w:val="000000" w:themeColor="text1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uto"/>
        <w:ind w:right="0" w:firstLine="567" w:left="0"/>
        <w:jc w:val="both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- забезпечення безбар’єрного доступу до культурних послуг та інформації.</w:t>
      </w:r>
      <w:r>
        <w:rPr>
          <w:color w:val="000000" w:themeColor="text1"/>
          <w:sz w:val="22"/>
        </w:rPr>
      </w:r>
      <w:r>
        <w:rPr>
          <w:color w:val="000000" w:themeColor="text1"/>
        </w:rPr>
      </w:r>
    </w:p>
    <w:p>
      <w:pPr>
        <w:suppressLineNumbers w:val="false"/>
        <w:pBdr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Враховуючи зазначене, маємо констатувати, що заклади культури потребують су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ттєвої підтримки та відновлення.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1"/>
        </w:numPr>
        <w:pBdr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Мета Програми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Метою Програми є визначення основних шляхів і способів створення умов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збереження мережі закладів культури громади, підвищення якості та доступності культурних послуг, розвитку людського капіталу Менщини через стимулювання створення та споживання культурних послуг, реалізація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державної політики в галузях «Культура» і «Туризм» на місцевому рівні, забезпечення належного рівня збереження та використання об'єктів культурної спадщини, розвитку внутрішнього та в’їзного туризму, задоволення культурних і духовних потреб людини.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numPr>
          <w:ilvl w:val="0"/>
          <w:numId w:val="1"/>
        </w:numPr>
        <w:pBdr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Основні завдання Програми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935"/>
        <w:numPr>
          <w:ilvl w:val="0"/>
          <w:numId w:val="4"/>
        </w:numPr>
        <w:pBdr/>
        <w:spacing w:after="0" w:line="240" w:lineRule="auto"/>
        <w:ind w:right="0" w:hanging="720"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Попул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яризація кращих зразків вітчизняного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світового класичного та сучасного мистецтва;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5"/>
        <w:numPr>
          <w:ilvl w:val="0"/>
          <w:numId w:val="4"/>
        </w:numPr>
        <w:pBdr/>
        <w:spacing w:after="0" w:line="240" w:lineRule="auto"/>
        <w:ind w:right="0" w:hanging="720"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провадження умов для аматорської творчої діяльності у сфері театрального, музичного, хореографічного та інших видів мистецтв, спрямованої на розвиток культури та музичної освіти;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5"/>
        <w:numPr>
          <w:ilvl w:val="0"/>
          <w:numId w:val="4"/>
        </w:numPr>
        <w:pBdr/>
        <w:spacing w:after="0" w:line="240" w:lineRule="auto"/>
        <w:ind w:right="0" w:hanging="720"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організація дозвілля населення;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5"/>
        <w:numPr>
          <w:ilvl w:val="0"/>
          <w:numId w:val="4"/>
        </w:numPr>
        <w:pBdr/>
        <w:spacing w:after="0" w:line="240" w:lineRule="auto"/>
        <w:ind w:right="0" w:hanging="720"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поповнення бібліотечних фондів;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5"/>
        <w:numPr>
          <w:ilvl w:val="0"/>
          <w:numId w:val="4"/>
        </w:numPr>
        <w:pBdr/>
        <w:spacing w:after="0" w:line="240" w:lineRule="auto"/>
        <w:ind w:right="0" w:hanging="720"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розвиток бібліотечного цифрового ХАБу;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5"/>
        <w:numPr>
          <w:ilvl w:val="0"/>
          <w:numId w:val="4"/>
        </w:numPr>
        <w:pBdr/>
        <w:spacing w:after="0" w:line="240" w:lineRule="auto"/>
        <w:ind w:right="0" w:hanging="720"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реалізація Національної стратегії зі створення безбар’єрного простору в Україні;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5"/>
        <w:numPr>
          <w:ilvl w:val="0"/>
          <w:numId w:val="4"/>
        </w:numPr>
        <w:pBdr/>
        <w:spacing w:after="0" w:line="240" w:lineRule="auto"/>
        <w:ind w:right="0" w:hanging="720"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пошук обдарованої молоді та стимулювання її творчого розвитку;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5"/>
        <w:numPr>
          <w:ilvl w:val="0"/>
          <w:numId w:val="4"/>
        </w:numPr>
        <w:pBdr/>
        <w:spacing w:after="0" w:line="240" w:lineRule="auto"/>
        <w:ind w:right="0" w:hanging="720"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підвищення професійної компетенції працівників закладів культури;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5"/>
        <w:numPr>
          <w:ilvl w:val="0"/>
          <w:numId w:val="4"/>
        </w:numPr>
        <w:pBdr/>
        <w:spacing w:after="0" w:line="240" w:lineRule="auto"/>
        <w:ind w:right="0" w:hanging="720"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покращення матеріально-технічної бази закладів культури;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5"/>
        <w:numPr>
          <w:ilvl w:val="0"/>
          <w:numId w:val="4"/>
        </w:numPr>
        <w:pBdr/>
        <w:spacing w:after="0" w:line="240" w:lineRule="auto"/>
        <w:ind w:right="0" w:hanging="720"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створення нових експозицій та виставок у музеях;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5"/>
        <w:numPr>
          <w:ilvl w:val="0"/>
          <w:numId w:val="4"/>
        </w:numPr>
        <w:pBdr/>
        <w:spacing w:after="0" w:line="240" w:lineRule="auto"/>
        <w:ind w:right="0" w:hanging="720"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впровадження цифрових технологій у музейній сфері;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5"/>
        <w:numPr>
          <w:ilvl w:val="0"/>
          <w:numId w:val="4"/>
        </w:numPr>
        <w:pBdr/>
        <w:spacing w:after="0" w:line="240" w:lineRule="auto"/>
        <w:ind w:right="0" w:hanging="720"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збереження фондової та облікової документації на музейні предмети;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5"/>
        <w:numPr>
          <w:ilvl w:val="0"/>
          <w:numId w:val="4"/>
        </w:numPr>
        <w:pBdr/>
        <w:spacing w:after="0" w:line="240" w:lineRule="auto"/>
        <w:ind w:right="0" w:hanging="720"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популяризація туристичного потенціалу Менської громади;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5"/>
        <w:numPr>
          <w:ilvl w:val="0"/>
          <w:numId w:val="4"/>
        </w:numPr>
        <w:pBdr/>
        <w:spacing w:after="0" w:line="240" w:lineRule="auto"/>
        <w:ind w:right="0" w:hanging="720"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розроблення туристичних маршрутів та проведення екскурсій;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5"/>
        <w:numPr>
          <w:ilvl w:val="0"/>
          <w:numId w:val="4"/>
        </w:numPr>
        <w:pBdr/>
        <w:spacing w:after="0" w:line="240" w:lineRule="auto"/>
        <w:ind w:right="0" w:hanging="720"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розвиток зеленого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туризму.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1"/>
        </w:numPr>
        <w:pBdr/>
        <w:spacing w:after="0" w:line="240" w:lineRule="auto"/>
        <w:ind w:left="0"/>
        <w:jc w:val="center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Шляхи і засоби ви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конання Програми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Виконання завдань, необхідних для розв’язання вищезазначених проблем, передбачається шляхом вжиття відповідних заходів у сфері культури, збереження культурної спадщини та туризму, а саме: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5"/>
        <w:numPr>
          <w:ilvl w:val="0"/>
          <w:numId w:val="4"/>
        </w:numPr>
        <w:pBdr/>
        <w:spacing w:after="0" w:line="240" w:lineRule="auto"/>
        <w:ind w:right="0" w:hanging="720"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проведення культурно-мистецьких заходів;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5"/>
        <w:numPr>
          <w:ilvl w:val="0"/>
          <w:numId w:val="4"/>
        </w:numPr>
        <w:pBdr/>
        <w:spacing w:after="0" w:line="240" w:lineRule="auto"/>
        <w:ind w:right="0" w:hanging="720"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фінансова підтримка дитячих творчих колективів;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5"/>
        <w:numPr>
          <w:ilvl w:val="0"/>
          <w:numId w:val="4"/>
        </w:numPr>
        <w:pBdr/>
        <w:spacing w:after="0" w:line="240" w:lineRule="auto"/>
        <w:ind w:right="0" w:hanging="720"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відновлення об'єкта, пошкодженого майна унаслідок військової агресії рф;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5"/>
        <w:numPr>
          <w:ilvl w:val="0"/>
          <w:numId w:val="4"/>
        </w:numPr>
        <w:pBdr/>
        <w:spacing w:after="0" w:line="240" w:lineRule="auto"/>
        <w:ind w:right="0" w:hanging="720"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модернізація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технічного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обладнання,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постановочного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освітлення та звукового обладнання будинків культури;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5"/>
        <w:numPr>
          <w:ilvl w:val="0"/>
          <w:numId w:val="4"/>
        </w:numPr>
        <w:pBdr/>
        <w:spacing w:after="0" w:line="240" w:lineRule="auto"/>
        <w:ind w:right="0" w:hanging="720"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придбання транспортного засобу для здійснення гастрольної діяльності;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5"/>
        <w:numPr>
          <w:ilvl w:val="0"/>
          <w:numId w:val="4"/>
        </w:numPr>
        <w:pBdr/>
        <w:spacing w:after="0" w:line="240" w:lineRule="auto"/>
        <w:ind w:right="0" w:hanging="720"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організація і проведення навчально-методичних заходів для працівників клубних закладів громади (конференцій, семінарів, лекцій, майстер-класів,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5"/>
        <w:numPr>
          <w:ilvl w:val="0"/>
          <w:numId w:val="4"/>
        </w:numPr>
        <w:pBdr/>
        <w:spacing w:after="0" w:line="240" w:lineRule="auto"/>
        <w:ind w:right="0" w:hanging="720"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зокрема виїзних семінарів-практикумів);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35"/>
        <w:numPr>
          <w:ilvl w:val="0"/>
          <w:numId w:val="4"/>
        </w:numPr>
        <w:pBdr/>
        <w:spacing w:after="0" w:line="240" w:lineRule="auto"/>
        <w:ind w:right="0" w:hanging="720"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проведення творчого огляду клубних закладів Менської громади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Менські передзвони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5"/>
        <w:numPr>
          <w:ilvl w:val="0"/>
          <w:numId w:val="4"/>
        </w:numPr>
        <w:pBdr/>
        <w:spacing w:after="0" w:line="240" w:lineRule="auto"/>
        <w:ind w:right="0" w:hanging="720"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присвоєння (підтвердження) звання «Народний (зразковий) аматорський колектив (студія)»;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5"/>
        <w:numPr>
          <w:ilvl w:val="0"/>
          <w:numId w:val="4"/>
        </w:numPr>
        <w:pBdr/>
        <w:spacing w:after="0" w:line="240" w:lineRule="auto"/>
        <w:ind w:right="0" w:hanging="720"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поповнення фонду  бібліотек друкованими та електронними виданнями;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5"/>
        <w:numPr>
          <w:ilvl w:val="0"/>
          <w:numId w:val="4"/>
        </w:numPr>
        <w:pBdr/>
        <w:spacing w:after="0" w:line="240" w:lineRule="auto"/>
        <w:ind w:right="0" w:hanging="720"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придбання обладнання для створення Електронної бібліотеки;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5"/>
        <w:numPr>
          <w:ilvl w:val="0"/>
          <w:numId w:val="4"/>
        </w:numPr>
        <w:pBdr/>
        <w:spacing w:after="0" w:line="240" w:lineRule="auto"/>
        <w:ind w:right="0" w:hanging="720"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придбання та обслуговування програмного забезпечення автоматизованої інформаційно-бібліотечної системи;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5"/>
        <w:numPr>
          <w:ilvl w:val="0"/>
          <w:numId w:val="4"/>
        </w:numPr>
        <w:pBdr/>
        <w:spacing w:after="0" w:line="240" w:lineRule="auto"/>
        <w:ind w:right="0" w:hanging="720"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технічне забезпечення реалізації проєкту «Бібліотечний ХАБ»;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5"/>
        <w:numPr>
          <w:ilvl w:val="0"/>
          <w:numId w:val="4"/>
        </w:numPr>
        <w:pBdr/>
        <w:spacing w:after="0" w:line="240" w:lineRule="auto"/>
        <w:ind w:right="0" w:hanging="720"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організація і проведення навчально-методичних заходів для працівників бібліотечних закладів (цикли семінарів-практикумів, вебінари, тренінги, консультації, онлайн-зустрічі);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5"/>
        <w:numPr>
          <w:ilvl w:val="0"/>
          <w:numId w:val="4"/>
        </w:numPr>
        <w:pBdr/>
        <w:spacing w:after="0" w:line="240" w:lineRule="auto"/>
        <w:ind w:right="0" w:hanging="720"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встановлення вказівників для осіб з інвалідністю;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5"/>
        <w:numPr>
          <w:ilvl w:val="0"/>
          <w:numId w:val="4"/>
        </w:numPr>
        <w:pBdr/>
        <w:spacing w:after="0" w:line="240" w:lineRule="auto"/>
        <w:ind w:right="0" w:hanging="720"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відзначення учнів мистецької школи громади шляхом надання щорічної винагороди;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5"/>
        <w:numPr>
          <w:ilvl w:val="0"/>
          <w:numId w:val="4"/>
        </w:numPr>
        <w:pBdr/>
        <w:spacing w:after="0" w:line="240" w:lineRule="auto"/>
        <w:ind w:right="0" w:hanging="720"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забезпечення системного підвищення кваліфікації працівників закладів культури та спеціалізованої мистецької освіти;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5"/>
        <w:numPr>
          <w:ilvl w:val="0"/>
          <w:numId w:val="4"/>
        </w:numPr>
        <w:pBdr/>
        <w:spacing w:after="0" w:line="240" w:lineRule="auto"/>
        <w:ind w:right="0" w:hanging="720"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придбання музичних інструментів;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5"/>
        <w:numPr>
          <w:ilvl w:val="0"/>
          <w:numId w:val="4"/>
        </w:numPr>
        <w:pBdr/>
        <w:spacing w:after="0" w:line="240" w:lineRule="auto"/>
        <w:ind w:right="0" w:hanging="720"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забезпечення експедиційної діяльності щодо дослідження та інвентаризації елементів нематеріальної культурної спадщини Менської громади, моніторингу стану життєздатності елементів нематеріальної культурної спадщини;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5"/>
        <w:numPr>
          <w:ilvl w:val="0"/>
          <w:numId w:val="4"/>
        </w:numPr>
        <w:pBdr/>
        <w:spacing w:after="0" w:line="240" w:lineRule="auto"/>
        <w:ind w:right="0" w:hanging="720"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проведення місцевих фестивалів-конкурсів традиційної народної культури; придбання необхідної для музеїв комп’ютерної, мультимедійної та іншої техніки;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5"/>
        <w:numPr>
          <w:ilvl w:val="0"/>
          <w:numId w:val="4"/>
        </w:numPr>
        <w:pBdr/>
        <w:spacing w:after="0" w:line="240" w:lineRule="auto"/>
        <w:ind w:right="0" w:hanging="720"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розроблення проєкту експозиції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Менщина територія Героїв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5"/>
        <w:numPr>
          <w:ilvl w:val="0"/>
          <w:numId w:val="4"/>
        </w:numPr>
        <w:pBdr/>
        <w:spacing w:after="0" w:line="240" w:lineRule="auto"/>
        <w:ind w:right="0" w:hanging="720"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встановлення систем охоронної сигналізації та відеонагляду в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Стольненському народному музеї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5"/>
        <w:numPr>
          <w:ilvl w:val="0"/>
          <w:numId w:val="4"/>
        </w:numPr>
        <w:pBdr/>
        <w:spacing w:after="0" w:line="240" w:lineRule="auto"/>
        <w:ind w:right="0" w:hanging="720"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забезпечення безбар’єрного доступу для осіб з інвалідністю та інших маломобільних груп населення до закладів культури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об’єктів туристичної інфраструктури та архітектурної спадщини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5"/>
        <w:numPr>
          <w:ilvl w:val="0"/>
          <w:numId w:val="4"/>
        </w:numPr>
        <w:pBdr/>
        <w:spacing w:after="0" w:line="240" w:lineRule="auto"/>
        <w:ind w:right="0" w:hanging="720"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встановлення цифрових туристичних інформаційних боксів (сенсорних туристично-інформаційних кіосків) у зонах активності туристів (із попереднім виготовленням інформаційного наповнення);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5"/>
        <w:numPr>
          <w:ilvl w:val="0"/>
          <w:numId w:val="4"/>
        </w:numPr>
        <w:pBdr/>
        <w:spacing w:after="0" w:line="240" w:lineRule="auto"/>
        <w:ind w:right="0" w:hanging="720"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облаштування туристичних об’єктів (установлення вивісок із назвою об’єкта, інформаційних стендів з актуальною інформацією про туристичний потенціал 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селених пунктів і громад, інформаційних табличок з QR-кодом, білбордів, сіті-лайтів, лайт-боксів, сміттєвих боксів, велопарковок, велопрокату, фотозон, зон відпочинку, оглядових майданчиків, фотозон тощо) та маркування екскурсійних і туристичних маршрутів;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5"/>
        <w:numPr>
          <w:ilvl w:val="0"/>
          <w:numId w:val="4"/>
        </w:numPr>
        <w:pBdr/>
        <w:spacing w:after="0" w:line="240" w:lineRule="auto"/>
        <w:ind w:right="0" w:hanging="720"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створення мультимедійної продукції щодо туристичного потенціалу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нської громади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забезпечення розроблення та поширення рекламно-інформаційної та сувенірної продукції, у тому числі іноземними мовами;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5"/>
        <w:numPr>
          <w:ilvl w:val="0"/>
          <w:numId w:val="4"/>
        </w:numPr>
        <w:pBdr/>
        <w:spacing w:after="0" w:line="240" w:lineRule="auto"/>
        <w:ind w:right="0" w:hanging="720"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участь у регіональних,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сеукраїнських, міжнародних галузевих заходах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5"/>
        <w:numPr>
          <w:ilvl w:val="0"/>
          <w:numId w:val="4"/>
        </w:numPr>
        <w:pBdr/>
        <w:spacing w:after="0" w:line="240" w:lineRule="auto"/>
        <w:ind w:right="0" w:hanging="720"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(виставках-ярмарках, форумах, семінарах, конференціях, салонах, інфотурах тощо);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35"/>
        <w:numPr>
          <w:ilvl w:val="0"/>
          <w:numId w:val="4"/>
        </w:numPr>
        <w:pBdr/>
        <w:spacing w:after="0" w:line="240" w:lineRule="auto"/>
        <w:ind w:right="0" w:hanging="720"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розроблення  патріотичних екскурсійних маршрутів у межах проєкту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Тури пам’яті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5"/>
        <w:numPr>
          <w:ilvl w:val="0"/>
          <w:numId w:val="4"/>
        </w:numPr>
        <w:pBdr/>
        <w:spacing w:after="0" w:line="240" w:lineRule="auto"/>
        <w:ind w:right="0" w:hanging="720"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розвиток молодіжних просторів;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5"/>
        <w:numPr>
          <w:ilvl w:val="0"/>
          <w:numId w:val="4"/>
        </w:numPr>
        <w:pBdr/>
        <w:spacing w:after="0" w:line="240" w:lineRule="auto"/>
        <w:ind w:right="0" w:hanging="720"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організація кінопоказів в населених пунктах громади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пересувни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кінотеатр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5"/>
        <w:numPr>
          <w:ilvl w:val="0"/>
          <w:numId w:val="4"/>
        </w:numPr>
        <w:pBdr/>
        <w:spacing w:after="0" w:line="240" w:lineRule="auto"/>
        <w:ind w:right="0" w:hanging="720"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заходів з відзначення подвигів ветеранів війни, проявлених під час захисту суверенітету, територіальної цілісності та недоторканності України, формування у жителів громади відчуття вдячності та поваги до ветеранів війни;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5"/>
        <w:numPr>
          <w:ilvl w:val="0"/>
          <w:numId w:val="4"/>
        </w:numPr>
        <w:pBdr/>
        <w:spacing w:after="0" w:line="240" w:lineRule="auto"/>
        <w:ind w:right="0" w:hanging="720"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вшанування на належному рівні пам’яті загиблих захисників України.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uto"/>
        <w:ind w:right="0" w:firstLine="708" w:left="0"/>
        <w:jc w:val="both"/>
        <w:rPr>
          <w:rFonts w:ascii="Times New Roman" w:hAnsi="Times New Roman" w:eastAsia="Times New Roman" w:cs="Times New Roman"/>
          <w:color w:val="000000" w:themeColor="text1"/>
          <w:sz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Заходи щодо реалізації програми вкладені в додатку 1 до Програми.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uto"/>
        <w:ind w:right="0" w:firstLine="708" w:left="0"/>
        <w:jc w:val="both"/>
        <w:rPr>
          <w:rFonts w:ascii="Times New Roman" w:hAnsi="Times New Roman" w:eastAsia="Times New Roman" w:cs="Times New Roman"/>
          <w:color w:val="000000" w:themeColor="text1"/>
          <w:sz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Фінансова підтримка дитячих творчих колективів вкладена в додатку 2 до Програми,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виплата разової фінансової допомоги учням комунального закладу “Менська школа мистецтв”, які стали переможцями обласних, Всеукраїнських, Міжнародних конкурсів та їх викладачам 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none"/>
        </w:rPr>
        <w:t xml:space="preserve">викладена в додатку 3 до Програми.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none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numPr>
          <w:ilvl w:val="0"/>
          <w:numId w:val="1"/>
        </w:numPr>
        <w:pBdr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Фінансове забезпечення реалізації Програми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suppressLineNumbers w:val="false"/>
        <w:pBdr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жерелами фінансування Програми є кошти місцевого бюджету в межах його фінансових можливостей, а також інших джерел, не заборонених чинним законодавством України.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uppressLineNumbers w:val="false"/>
        <w:pBdr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Фінансування Програми здійснюється з урахуванн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ям залученої фінансової та технічної допомоги, яку надають Україні міжнародні організації, а також іноземні країни. Технічна допомога може бути залучена у формі експертної допомоги, необхідних матеріальних ресурсів або коштів, виділених на цільові потреби.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uppressLineNumbers w:val="false"/>
        <w:pBdr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Програму передбачено реалізувати за 3 роки, у період з 2025 року по 2027 рік включно.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uppressLineNumbers w:val="false"/>
        <w:pBdr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Загальний обсяг фінансування складає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6137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,6 тис.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грн.: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uppressLineNumbers w:val="false"/>
        <w:pBdr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2025 рік - 6906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,0 тис. грн.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r>
    </w:p>
    <w:p>
      <w:pPr>
        <w:suppressLineNumbers w:val="false"/>
        <w:pBdr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2026 рік - 14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121,7 тис. грн.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r>
    </w:p>
    <w:p>
      <w:pPr>
        <w:suppressLineNumbers w:val="false"/>
        <w:pBdr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2027 рік 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15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109,9 тис. грн.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1"/>
        </w:numPr>
        <w:pBdr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Ключові показники результативності Програми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pStyle w:val="935"/>
        <w:numPr>
          <w:ilvl w:val="0"/>
          <w:numId w:val="2"/>
        </w:numPr>
        <w:pBdr/>
        <w:spacing w:after="0" w:line="240" w:lineRule="auto"/>
        <w:ind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Надання якісного культурного продукту населенню;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5"/>
        <w:numPr>
          <w:ilvl w:val="0"/>
          <w:numId w:val="2"/>
        </w:numPr>
        <w:pBdr/>
        <w:spacing w:after="0" w:line="240" w:lineRule="auto"/>
        <w:ind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поповнення бібліотечних фондів;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5"/>
        <w:numPr>
          <w:ilvl w:val="0"/>
          <w:numId w:val="2"/>
        </w:numPr>
        <w:pBdr/>
        <w:spacing w:after="0" w:line="240" w:lineRule="auto"/>
        <w:ind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покращення матеріально-технічної бази закладів культури громади;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5"/>
        <w:numPr>
          <w:ilvl w:val="0"/>
          <w:numId w:val="2"/>
        </w:numPr>
        <w:pBdr/>
        <w:spacing w:after="0" w:line="240" w:lineRule="auto"/>
        <w:ind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інвентаризація (дослідження) об’єктів культурної спадщини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створення нових експозицій, із застосуванням сучасних мультимедійних та інформаційно-комунікаційних технологій у музеях;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збільшення кількості туристів та екскурсантів;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популяризація туристичного потенціалу Менської громади;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безбар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’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єрний доступ до закладів культури та об’єктів туристичної інфраструктури громади;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задоволення культурних та дозвіллєвих потреб населення;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формування у жителів громади відчуття вдячності та поваги до ветеранів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російсько-української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війни та вшанування пам’яті загиблих захисників України.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numPr>
          <w:ilvl w:val="0"/>
          <w:numId w:val="1"/>
        </w:numPr>
        <w:pBdr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Очікувані результати від реалізації Програми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Результатом реалізації Програми стане підвищення якості та доступності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всіх видів культурних послуг населенню не нижче мінімальних стандартів забезпечення громадян культурними послугами, забезпечення свободи творчості та форм культурного самовираження громадян, а також забезпечення прав громадян у сфері культури, зокрема: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5"/>
        <w:numPr>
          <w:ilvl w:val="0"/>
          <w:numId w:val="2"/>
        </w:numPr>
        <w:pBdr/>
        <w:spacing w:after="0" w:line="240" w:lineRule="auto"/>
        <w:ind/>
        <w:jc w:val="both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рення умов для творчого розвитку особистості, підвищення культурного рівня та естетичного виховання населення шляхом забезпечення права громадян провадити творчу діяльність на професійній та/або аматорській основі;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5"/>
        <w:numPr>
          <w:ilvl w:val="0"/>
          <w:numId w:val="2"/>
        </w:numPr>
        <w:pBdr/>
        <w:spacing w:after="0" w:line="240" w:lineRule="auto"/>
        <w:ind/>
        <w:jc w:val="both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популяризація нематеріальної культурної спадщини як невід’ємної ознаки ідентичності  культури громади;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5"/>
        <w:numPr>
          <w:ilvl w:val="0"/>
          <w:numId w:val="2"/>
        </w:numPr>
        <w:pBdr/>
        <w:spacing w:after="0" w:line="240" w:lineRule="auto"/>
        <w:ind/>
        <w:jc w:val="both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забезпечення права громадян на доступ до культурних цінностей шляхом ознайомлення з музейними колекціями, користування фондами бібліотек, створення та поповнення електронних каталогів;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5"/>
        <w:numPr>
          <w:ilvl w:val="0"/>
          <w:numId w:val="2"/>
        </w:numPr>
        <w:pBdr/>
        <w:spacing w:after="0" w:line="240" w:lineRule="auto"/>
        <w:ind/>
        <w:jc w:val="both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забезпечення права громадян на здобуття мистецької освіти початкового рівня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5"/>
        <w:numPr>
          <w:ilvl w:val="0"/>
          <w:numId w:val="2"/>
        </w:numPr>
        <w:pBdr/>
        <w:spacing w:after="0" w:line="240" w:lineRule="auto"/>
        <w:ind/>
        <w:jc w:val="both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підвищення професійної компетенції працівників закладів культури громади;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5"/>
        <w:numPr>
          <w:ilvl w:val="0"/>
          <w:numId w:val="2"/>
        </w:numPr>
        <w:pBdr/>
        <w:spacing w:after="0" w:line="240" w:lineRule="auto"/>
        <w:ind/>
        <w:jc w:val="both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збереження державної частини музейного фонду України; збереження та попул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яризація об’єктів культурної спадщини;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5"/>
        <w:numPr>
          <w:ilvl w:val="0"/>
          <w:numId w:val="2"/>
        </w:numPr>
        <w:pBdr/>
        <w:spacing w:after="0" w:line="240" w:lineRule="auto"/>
        <w:ind/>
        <w:jc w:val="both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розширення переліку туристичних та туристично-інформаційних послу;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5"/>
        <w:numPr>
          <w:ilvl w:val="0"/>
          <w:numId w:val="2"/>
        </w:numPr>
        <w:pBdr/>
        <w:spacing w:after="0" w:line="240" w:lineRule="auto"/>
        <w:ind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дтрим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ання та покращення позитивного іміджу Менської громади.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numPr>
          <w:ilvl w:val="0"/>
          <w:numId w:val="1"/>
        </w:numPr>
        <w:pBdr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Координація роботи і контроль за реалізацією Програми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suppressLineNumbers w:val="false"/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Головним виконавцем Програми є Відділ культури Менської міської ради.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Контроль за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виконанням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Програми здійснює</w:t>
      </w:r>
      <w:r>
        <w:rPr>
          <w:rFonts w:ascii="Segoe UI" w:hAnsi="Segoe UI" w:eastAsia="Segoe UI" w:cs="Segoe UI"/>
          <w:b/>
          <w:color w:val="000000" w:themeColor="text1"/>
          <w:sz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постійна комісія з питань 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highlight w:val="white"/>
        </w:rPr>
        <w:t xml:space="preserve">охорони здоров’я, соціального захисту населення, освіти, культури, молоді, фізкультури і спорту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  <w:highlight w:val="none"/>
        </w:rPr>
      </w:r>
    </w:p>
    <w:p>
      <w:pPr>
        <w:pBdr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 Відділу культури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Менської міської ради                                                </w:t>
        <w:tab/>
        <w:t xml:space="preserve">Світлана ШЕЛУДЬКО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sectPr>
      <w:headerReference w:type="default" r:id="rId11"/>
      <w:footnotePr/>
      <w:endnotePr/>
      <w:type w:val="nextPage"/>
      <w:pgSz w:h="16840" w:orient="portrait" w:w="11910"/>
      <w:pgMar w:top="1134" w:right="595" w:bottom="1134" w:left="1712" w:header="720" w:footer="0" w:gutter="0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6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6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  <w:pBdr/>
      <w:spacing/>
      <w:ind/>
      <w:jc w:val="right"/>
      <w:rPr>
        <w:rFonts w:ascii="Times New Roman" w:hAnsi="Times New Roman" w:cs="Times New Roman"/>
        <w:sz w:val="24"/>
        <w:szCs w:val="24"/>
      </w:rPr>
    </w:pPr>
    <w:fldSimple w:instr="PAGE \* MERGEFORMAT">
      <w:r>
        <w:rPr>
          <w:rFonts w:ascii="Times New Roman" w:hAnsi="Times New Roman" w:eastAsia="Times New Roman" w:cs="Times New Roman"/>
          <w:sz w:val="24"/>
          <w:szCs w:val="24"/>
        </w:rPr>
        <w:t xml:space="preserve">1</w:t>
      </w:r>
    </w:fldSimple>
    <w:r>
      <w:rPr>
        <w:rFonts w:ascii="Times New Roman" w:hAnsi="Times New Roman" w:eastAsia="Times New Roman" w:cs="Times New Roman"/>
        <w:sz w:val="24"/>
        <w:szCs w:val="24"/>
      </w:rPr>
    </w:r>
    <w:r>
      <w:rPr>
        <w:rFonts w:ascii="Times New Roman" w:hAnsi="Times New Roman" w:eastAsia="Times New Roman" w:cs="Times New Roman"/>
        <w:sz w:val="24"/>
        <w:szCs w:val="24"/>
      </w:rPr>
      <w:t xml:space="preserve">                                           продовження додатка</w:t>
    </w: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  <w:p>
    <w:pPr>
      <w:pStyle w:val="914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  <w:pBdr/>
      <w:spacing/>
      <w:ind/>
      <w:rPr/>
    </w:pPr>
    <w:r>
      <w:t xml:space="preserve">                                                                                            </w: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  <w:pBdr/>
      <w:spacing/>
      <w:ind/>
      <w:jc w:val="right"/>
      <w:rPr>
        <w:rFonts w:ascii="Times New Roman" w:hAnsi="Times New Roman" w:cs="Times New Roman"/>
      </w:rPr>
    </w:pPr>
    <w:r>
      <w:t xml:space="preserve">                         </w:t>
    </w:r>
    <w:r>
      <w:rPr>
        <w:rFonts w:ascii="Times New Roman" w:hAnsi="Times New Roman" w:eastAsia="Times New Roman" w:cs="Times New Roman"/>
      </w:rPr>
      <w:t xml:space="preserve">        </w:t>
    </w:r>
    <w:fldSimple w:instr="PAGE \* MERGEFORMAT">
      <w:r>
        <w:rPr>
          <w:rFonts w:ascii="Times New Roman" w:hAnsi="Times New Roman" w:eastAsia="Times New Roman" w:cs="Times New Roman"/>
        </w:rPr>
        <w:t xml:space="preserve">1</w:t>
      </w:r>
    </w:fldSimple>
    <w:r>
      <w:rPr>
        <w:rFonts w:ascii="Times New Roman" w:hAnsi="Times New Roman" w:eastAsia="Times New Roman" w:cs="Times New Roman"/>
      </w:rPr>
    </w:r>
    <w:r>
      <w:rPr>
        <w:rFonts w:ascii="Times New Roman" w:hAnsi="Times New Roman" w:eastAsia="Times New Roman" w:cs="Times New Roman"/>
      </w:rPr>
      <w:t xml:space="preserve">                                             продовження додатка</w:t>
    </w: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</w:p>
  <w:p>
    <w:pPr>
      <w:pStyle w:val="914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60" w:left="926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6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cs="Times New Roman" w:eastAsiaTheme="minorHAns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7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9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1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3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5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7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9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15"/>
      </w:pPr>
      <w:rPr/>
      <w:start w:val="1"/>
      <w:suff w:val="tab"/>
    </w:lvl>
  </w:abstractNum>
  <w:abstractNum w:abstractNumId="3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4">
    <w:name w:val="Caption Char"/>
    <w:basedOn w:val="918"/>
    <w:link w:val="916"/>
    <w:uiPriority w:val="99"/>
    <w:pPr>
      <w:pBdr/>
      <w:spacing/>
      <w:ind/>
    </w:pPr>
  </w:style>
  <w:style w:type="paragraph" w:styleId="745">
    <w:name w:val="toc 1"/>
    <w:basedOn w:val="929"/>
    <w:next w:val="929"/>
    <w:uiPriority w:val="39"/>
    <w:unhideWhenUsed/>
    <w:pPr>
      <w:pBdr/>
      <w:spacing w:after="57"/>
      <w:ind w:right="0" w:firstLine="0" w:left="0"/>
    </w:pPr>
  </w:style>
  <w:style w:type="paragraph" w:styleId="746">
    <w:name w:val="toc 2"/>
    <w:basedOn w:val="929"/>
    <w:next w:val="929"/>
    <w:uiPriority w:val="39"/>
    <w:unhideWhenUsed/>
    <w:pPr>
      <w:pBdr/>
      <w:spacing w:after="57"/>
      <w:ind w:right="0" w:firstLine="0" w:left="283"/>
    </w:pPr>
  </w:style>
  <w:style w:type="paragraph" w:styleId="747">
    <w:name w:val="toc 3"/>
    <w:basedOn w:val="929"/>
    <w:next w:val="929"/>
    <w:uiPriority w:val="39"/>
    <w:unhideWhenUsed/>
    <w:pPr>
      <w:pBdr/>
      <w:spacing w:after="57"/>
      <w:ind w:right="0" w:firstLine="0" w:left="567"/>
    </w:pPr>
  </w:style>
  <w:style w:type="paragraph" w:styleId="748">
    <w:name w:val="toc 4"/>
    <w:basedOn w:val="929"/>
    <w:next w:val="929"/>
    <w:uiPriority w:val="39"/>
    <w:unhideWhenUsed/>
    <w:pPr>
      <w:pBdr/>
      <w:spacing w:after="57"/>
      <w:ind w:right="0" w:firstLine="0" w:left="850"/>
    </w:pPr>
  </w:style>
  <w:style w:type="paragraph" w:styleId="749">
    <w:name w:val="toc 5"/>
    <w:basedOn w:val="929"/>
    <w:next w:val="929"/>
    <w:uiPriority w:val="39"/>
    <w:unhideWhenUsed/>
    <w:pPr>
      <w:pBdr/>
      <w:spacing w:after="57"/>
      <w:ind w:right="0" w:firstLine="0" w:left="1134"/>
    </w:pPr>
  </w:style>
  <w:style w:type="paragraph" w:styleId="750">
    <w:name w:val="toc 6"/>
    <w:basedOn w:val="929"/>
    <w:next w:val="929"/>
    <w:uiPriority w:val="39"/>
    <w:unhideWhenUsed/>
    <w:pPr>
      <w:pBdr/>
      <w:spacing w:after="57"/>
      <w:ind w:right="0" w:firstLine="0" w:left="1417"/>
    </w:pPr>
  </w:style>
  <w:style w:type="paragraph" w:styleId="751">
    <w:name w:val="toc 7"/>
    <w:basedOn w:val="929"/>
    <w:next w:val="929"/>
    <w:uiPriority w:val="39"/>
    <w:unhideWhenUsed/>
    <w:pPr>
      <w:pBdr/>
      <w:spacing w:after="57"/>
      <w:ind w:right="0" w:firstLine="0" w:left="1701"/>
    </w:pPr>
  </w:style>
  <w:style w:type="paragraph" w:styleId="752">
    <w:name w:val="toc 8"/>
    <w:basedOn w:val="929"/>
    <w:next w:val="929"/>
    <w:uiPriority w:val="39"/>
    <w:unhideWhenUsed/>
    <w:pPr>
      <w:pBdr/>
      <w:spacing w:after="57"/>
      <w:ind w:right="0" w:firstLine="0" w:left="1984"/>
    </w:pPr>
  </w:style>
  <w:style w:type="paragraph" w:styleId="753">
    <w:name w:val="toc 9"/>
    <w:basedOn w:val="929"/>
    <w:next w:val="929"/>
    <w:uiPriority w:val="39"/>
    <w:unhideWhenUsed/>
    <w:pPr>
      <w:pBdr/>
      <w:spacing w:after="57"/>
      <w:ind w:right="0" w:firstLine="0" w:left="2268"/>
    </w:pPr>
  </w:style>
  <w:style w:type="table" w:styleId="754">
    <w:name w:val="Table Grid"/>
    <w:basedOn w:val="93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Table Grid Light"/>
    <w:basedOn w:val="9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Plain Table 1"/>
    <w:basedOn w:val="9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Plain Table 2"/>
    <w:basedOn w:val="9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Plain Table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1 Light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1 Light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1 Light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2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2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3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3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4"/>
    <w:basedOn w:val="9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4 - Accent 1"/>
    <w:basedOn w:val="9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4 - Accent 2"/>
    <w:basedOn w:val="9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 - Accent 3"/>
    <w:basedOn w:val="9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4"/>
    <w:basedOn w:val="9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5"/>
    <w:basedOn w:val="9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6"/>
    <w:basedOn w:val="9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5 Dark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5 Dark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5 Dark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6 Colorful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6 Colorful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6 Colorful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7 Colorful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7 Colorful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7 Colorful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1 Light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1 Light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1 Light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2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2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3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3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4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4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5 Dark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5 Dark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5 Dark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6 Colorful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6 Colorful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6 Colorful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7 Colorful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7 Colorful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7 Colorful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ned - Accent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ned - Accent 1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 - Accent 2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3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4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5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6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&amp; Lined - Accent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 &amp; Lined - Accent 1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 &amp; Lined - Accent 2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 3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4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5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6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0">
    <w:name w:val="Heading 1"/>
    <w:basedOn w:val="929"/>
    <w:next w:val="929"/>
    <w:link w:val="88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81">
    <w:name w:val="Heading 2"/>
    <w:basedOn w:val="929"/>
    <w:next w:val="929"/>
    <w:link w:val="89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82">
    <w:name w:val="Heading 3"/>
    <w:basedOn w:val="929"/>
    <w:next w:val="929"/>
    <w:link w:val="89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83">
    <w:name w:val="Heading 4"/>
    <w:basedOn w:val="929"/>
    <w:next w:val="929"/>
    <w:link w:val="89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84">
    <w:name w:val="Heading 5"/>
    <w:basedOn w:val="929"/>
    <w:next w:val="929"/>
    <w:link w:val="89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85">
    <w:name w:val="Heading 6"/>
    <w:basedOn w:val="929"/>
    <w:next w:val="929"/>
    <w:link w:val="89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86">
    <w:name w:val="Heading 7"/>
    <w:basedOn w:val="929"/>
    <w:next w:val="929"/>
    <w:link w:val="89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87">
    <w:name w:val="Heading 8"/>
    <w:basedOn w:val="929"/>
    <w:next w:val="929"/>
    <w:link w:val="89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88">
    <w:name w:val="Heading 9"/>
    <w:basedOn w:val="929"/>
    <w:next w:val="929"/>
    <w:link w:val="89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89">
    <w:name w:val="Heading 1 Char"/>
    <w:basedOn w:val="930"/>
    <w:link w:val="88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90">
    <w:name w:val="Heading 2 Char"/>
    <w:basedOn w:val="930"/>
    <w:link w:val="88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91">
    <w:name w:val="Heading 3 Char"/>
    <w:basedOn w:val="930"/>
    <w:link w:val="88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92">
    <w:name w:val="Heading 4 Char"/>
    <w:basedOn w:val="930"/>
    <w:link w:val="88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93">
    <w:name w:val="Heading 5 Char"/>
    <w:basedOn w:val="930"/>
    <w:link w:val="88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94">
    <w:name w:val="Heading 6 Char"/>
    <w:basedOn w:val="930"/>
    <w:link w:val="88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95">
    <w:name w:val="Heading 7 Char"/>
    <w:basedOn w:val="930"/>
    <w:link w:val="88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96">
    <w:name w:val="Heading 8 Char"/>
    <w:basedOn w:val="930"/>
    <w:link w:val="88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97">
    <w:name w:val="Heading 9 Char"/>
    <w:basedOn w:val="930"/>
    <w:link w:val="88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98">
    <w:name w:val="Title"/>
    <w:basedOn w:val="929"/>
    <w:next w:val="929"/>
    <w:link w:val="89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99">
    <w:name w:val="Title Char"/>
    <w:basedOn w:val="930"/>
    <w:link w:val="89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00">
    <w:name w:val="Subtitle"/>
    <w:basedOn w:val="929"/>
    <w:next w:val="929"/>
    <w:link w:val="90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01">
    <w:name w:val="Subtitle Char"/>
    <w:basedOn w:val="930"/>
    <w:link w:val="90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02">
    <w:name w:val="Quote"/>
    <w:basedOn w:val="929"/>
    <w:next w:val="929"/>
    <w:link w:val="90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03">
    <w:name w:val="Quote Char"/>
    <w:basedOn w:val="930"/>
    <w:link w:val="90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04">
    <w:name w:val="Intense Emphasis"/>
    <w:basedOn w:val="93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05">
    <w:name w:val="Intense Quote"/>
    <w:basedOn w:val="929"/>
    <w:next w:val="929"/>
    <w:link w:val="90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06">
    <w:name w:val="Intense Quote Char"/>
    <w:basedOn w:val="930"/>
    <w:link w:val="90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07">
    <w:name w:val="Intense Reference"/>
    <w:basedOn w:val="93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08">
    <w:name w:val="No Spacing"/>
    <w:basedOn w:val="929"/>
    <w:uiPriority w:val="1"/>
    <w:qFormat/>
    <w:pPr>
      <w:pBdr/>
      <w:spacing w:after="0" w:line="240" w:lineRule="auto"/>
      <w:ind/>
    </w:pPr>
  </w:style>
  <w:style w:type="character" w:styleId="909">
    <w:name w:val="Subtle Emphasis"/>
    <w:basedOn w:val="93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10">
    <w:name w:val="Emphasis"/>
    <w:basedOn w:val="930"/>
    <w:uiPriority w:val="20"/>
    <w:qFormat/>
    <w:pPr>
      <w:pBdr/>
      <w:spacing/>
      <w:ind/>
    </w:pPr>
    <w:rPr>
      <w:i/>
      <w:iCs/>
    </w:rPr>
  </w:style>
  <w:style w:type="character" w:styleId="911">
    <w:name w:val="Strong"/>
    <w:basedOn w:val="930"/>
    <w:uiPriority w:val="22"/>
    <w:qFormat/>
    <w:pPr>
      <w:pBdr/>
      <w:spacing/>
      <w:ind/>
    </w:pPr>
    <w:rPr>
      <w:b/>
      <w:bCs/>
    </w:rPr>
  </w:style>
  <w:style w:type="character" w:styleId="912">
    <w:name w:val="Subtle Reference"/>
    <w:basedOn w:val="93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13">
    <w:name w:val="Book Title"/>
    <w:basedOn w:val="93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14">
    <w:name w:val="Header"/>
    <w:basedOn w:val="929"/>
    <w:link w:val="91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15">
    <w:name w:val="Header Char"/>
    <w:basedOn w:val="930"/>
    <w:link w:val="914"/>
    <w:uiPriority w:val="99"/>
    <w:pPr>
      <w:pBdr/>
      <w:spacing/>
      <w:ind/>
    </w:pPr>
  </w:style>
  <w:style w:type="paragraph" w:styleId="916">
    <w:name w:val="Footer"/>
    <w:basedOn w:val="929"/>
    <w:link w:val="91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17">
    <w:name w:val="Footer Char"/>
    <w:basedOn w:val="930"/>
    <w:link w:val="916"/>
    <w:uiPriority w:val="99"/>
    <w:pPr>
      <w:pBdr/>
      <w:spacing/>
      <w:ind/>
    </w:pPr>
  </w:style>
  <w:style w:type="paragraph" w:styleId="918">
    <w:name w:val="Caption"/>
    <w:basedOn w:val="929"/>
    <w:next w:val="92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19">
    <w:name w:val="footnote text"/>
    <w:basedOn w:val="929"/>
    <w:link w:val="92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20">
    <w:name w:val="Footnote Text Char"/>
    <w:basedOn w:val="930"/>
    <w:link w:val="919"/>
    <w:uiPriority w:val="99"/>
    <w:semiHidden/>
    <w:pPr>
      <w:pBdr/>
      <w:spacing/>
      <w:ind/>
    </w:pPr>
    <w:rPr>
      <w:sz w:val="20"/>
      <w:szCs w:val="20"/>
    </w:rPr>
  </w:style>
  <w:style w:type="character" w:styleId="921">
    <w:name w:val="footnote reference"/>
    <w:basedOn w:val="930"/>
    <w:uiPriority w:val="99"/>
    <w:semiHidden/>
    <w:unhideWhenUsed/>
    <w:pPr>
      <w:pBdr/>
      <w:spacing/>
      <w:ind/>
    </w:pPr>
    <w:rPr>
      <w:vertAlign w:val="superscript"/>
    </w:rPr>
  </w:style>
  <w:style w:type="paragraph" w:styleId="922">
    <w:name w:val="endnote text"/>
    <w:basedOn w:val="929"/>
    <w:link w:val="92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23">
    <w:name w:val="Endnote Text Char"/>
    <w:basedOn w:val="930"/>
    <w:link w:val="922"/>
    <w:uiPriority w:val="99"/>
    <w:semiHidden/>
    <w:pPr>
      <w:pBdr/>
      <w:spacing/>
      <w:ind/>
    </w:pPr>
    <w:rPr>
      <w:sz w:val="20"/>
      <w:szCs w:val="20"/>
    </w:rPr>
  </w:style>
  <w:style w:type="character" w:styleId="924">
    <w:name w:val="endnote reference"/>
    <w:basedOn w:val="930"/>
    <w:uiPriority w:val="99"/>
    <w:semiHidden/>
    <w:unhideWhenUsed/>
    <w:pPr>
      <w:pBdr/>
      <w:spacing/>
      <w:ind/>
    </w:pPr>
    <w:rPr>
      <w:vertAlign w:val="superscript"/>
    </w:rPr>
  </w:style>
  <w:style w:type="character" w:styleId="925">
    <w:name w:val="Hyperlink"/>
    <w:basedOn w:val="93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26">
    <w:name w:val="FollowedHyperlink"/>
    <w:basedOn w:val="93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27">
    <w:name w:val="TOC Heading"/>
    <w:uiPriority w:val="39"/>
    <w:unhideWhenUsed/>
    <w:pPr>
      <w:pBdr/>
      <w:spacing/>
      <w:ind/>
    </w:pPr>
  </w:style>
  <w:style w:type="paragraph" w:styleId="928">
    <w:name w:val="table of figures"/>
    <w:basedOn w:val="929"/>
    <w:next w:val="929"/>
    <w:uiPriority w:val="99"/>
    <w:unhideWhenUsed/>
    <w:pPr>
      <w:pBdr/>
      <w:spacing w:after="0" w:afterAutospacing="0"/>
      <w:ind/>
    </w:pPr>
  </w:style>
  <w:style w:type="paragraph" w:styleId="929" w:default="1">
    <w:name w:val="Normal"/>
    <w:qFormat/>
    <w:pPr>
      <w:pBdr/>
      <w:spacing/>
      <w:ind/>
    </w:pPr>
  </w:style>
  <w:style w:type="character" w:styleId="930" w:default="1">
    <w:name w:val="Default Paragraph Font"/>
    <w:uiPriority w:val="1"/>
    <w:unhideWhenUsed/>
    <w:pPr>
      <w:pBdr/>
      <w:spacing/>
      <w:ind/>
    </w:pPr>
  </w:style>
  <w:style w:type="table" w:styleId="93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32" w:default="1">
    <w:name w:val="No List"/>
    <w:uiPriority w:val="99"/>
    <w:semiHidden/>
    <w:unhideWhenUsed/>
    <w:pPr>
      <w:pBdr/>
      <w:spacing/>
      <w:ind/>
    </w:pPr>
  </w:style>
  <w:style w:type="paragraph" w:styleId="933">
    <w:name w:val="Body Text"/>
    <w:basedOn w:val="929"/>
    <w:link w:val="934"/>
    <w:uiPriority w:val="99"/>
    <w:semiHidden/>
    <w:unhideWhenUsed/>
    <w:pPr>
      <w:pBdr/>
      <w:spacing w:after="120"/>
      <w:ind/>
    </w:pPr>
  </w:style>
  <w:style w:type="character" w:styleId="934" w:customStyle="1">
    <w:name w:val="Основной текст Знак"/>
    <w:basedOn w:val="930"/>
    <w:link w:val="933"/>
    <w:uiPriority w:val="99"/>
    <w:semiHidden/>
    <w:pPr>
      <w:pBdr/>
      <w:spacing/>
      <w:ind/>
    </w:pPr>
  </w:style>
  <w:style w:type="paragraph" w:styleId="935">
    <w:name w:val="List Paragraph"/>
    <w:basedOn w:val="929"/>
    <w:uiPriority w:val="34"/>
    <w:qFormat/>
    <w:pPr>
      <w:pBdr/>
      <w:spacing/>
      <w:ind w:left="720"/>
      <w:contextualSpacing w:val="true"/>
    </w:pPr>
  </w:style>
  <w:style w:type="paragraph" w:styleId="936" w:customStyle="1">
    <w:name w:val="docdata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</w:rPr>
  </w:style>
  <w:style w:type="paragraph" w:styleId="937" w:customStyle="1">
    <w:name w:val="Normal (Web)"/>
    <w:uiPriority w:val="99"/>
    <w:unhideWhenUsed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СТАЛЬНИЧЕНКО Юрій Валерійович</cp:lastModifiedBy>
  <cp:revision>37</cp:revision>
  <dcterms:created xsi:type="dcterms:W3CDTF">2024-11-17T18:41:00Z</dcterms:created>
  <dcterms:modified xsi:type="dcterms:W3CDTF">2024-12-21T15:40:33Z</dcterms:modified>
</cp:coreProperties>
</file>