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9213"/>
        <w:rPr>
          <w:rFonts w:ascii="Times New Roman" w:hAnsi="Times New Roman" w:cs="Times New Roman"/>
          <w:bCs/>
          <w:iCs/>
          <w:sz w:val="28"/>
          <w:szCs w:val="20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Cs/>
          <w:iCs/>
          <w:sz w:val="28"/>
          <w:szCs w:val="20"/>
        </w:rPr>
        <w:t xml:space="preserve">Додаток</w:t>
      </w:r>
      <w:r>
        <w:rPr>
          <w:rFonts w:ascii="Times New Roman" w:hAnsi="Times New Roman" w:cs="Times New Roman"/>
          <w:bCs/>
          <w:iCs/>
          <w:sz w:val="28"/>
          <w:szCs w:val="20"/>
        </w:rPr>
      </w:r>
      <w:r>
        <w:rPr>
          <w:rFonts w:ascii="Times New Roman" w:hAnsi="Times New Roman" w:cs="Times New Roman"/>
          <w:bCs/>
          <w:iCs/>
          <w:sz w:val="28"/>
          <w:szCs w:val="20"/>
        </w:rPr>
      </w:r>
    </w:p>
    <w:p>
      <w:pPr>
        <w:pBdr/>
        <w:spacing w:after="0" w:line="240" w:lineRule="auto"/>
        <w:ind w:left="9213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Комплексної Програми підтримки сім’ї, запобігання домашньому насильству, гендерної рівності та протидії торгівлі людьми у Менській міській територіальній громаді на період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pBdr/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та заходи 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виконання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Комплексної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підтримки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сім’ї, запобіганню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домашньому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насильству, забезпечення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гендерної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рівності та протидії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торгівлі людьми 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-202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46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393"/>
        <w:gridCol w:w="958"/>
        <w:gridCol w:w="4219"/>
        <w:gridCol w:w="1241"/>
        <w:gridCol w:w="1134"/>
        <w:gridCol w:w="709"/>
        <w:gridCol w:w="709"/>
        <w:gridCol w:w="788"/>
      </w:tblGrid>
      <w:tr>
        <w:trPr>
          <w:cantSplit/>
        </w:trPr>
        <w:tc>
          <w:tcPr>
            <w:tcBorders/>
            <w:tcW w:w="53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з/п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Borders/>
            <w:tcW w:w="43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Найменуваннязавдання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Borders/>
            <w:tcW w:w="958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Строк виконання, роки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Borders/>
            <w:tcW w:w="4219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Відповідальнівиконавці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Borders/>
            <w:tcW w:w="1241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Джерелафінансування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Орієнтовні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обсяги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(тис.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грн)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gridSpan w:val="3"/>
            <w:tcBorders/>
            <w:tcW w:w="220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 тому числі за роками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(тис.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грн)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</w:tr>
      <w:tr>
        <w:trPr>
          <w:cantSplit/>
          <w:trHeight w:val="160"/>
        </w:trPr>
        <w:tc>
          <w:tcPr>
            <w:tcBorders/>
            <w:tcW w:w="533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393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958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19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1241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70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8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9"/>
            <w:tcBorders/>
            <w:tcW w:w="1468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Підтримка та розвиток сім’ї. Запобігання домашньому насильству.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початкової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оцінки потреб дитини та її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сім’ї, виявлення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дітьми, які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опинились в складних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життєвих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обставинах, проведення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ними ефективної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збереження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сім’ї, попередження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дитиною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оточення та надання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«Менський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міський центр соціальних служб» 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Служба у справах 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та охорони здоровʼя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КНП «Менський центр первинної медико-санітарної допомоги»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tabs>
                <w:tab w:val="left" w:leader="none" w:pos="960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взаємодії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залученими до протидії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насильства в сім’ї, проведеня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ситуації у даній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та охорони здоровʼя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КУ «Менський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соціальних служб» 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«Менський територіальний центр надання соціальних послуг» Менської 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Менської міської ради, КНП «Менський центр первинної медико-санітарної допомоги» Менської міської ради</w:t>
            </w:r>
            <w:r>
              <w:rPr>
                <w:rStyle w:val="960"/>
                <w:shd w:val="clear" w:color="auto" w:fill="ffffff"/>
              </w:rPr>
              <w:t xml:space="preserve">, </w:t>
            </w:r>
            <w:r>
              <w:rPr>
                <w:rStyle w:val="960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КНП «Менська міська лікарня» Менської міської ради,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відділення № 1 Корюківського відділу поліції Головного управління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Національної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поліції в Чернігівській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області.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Підтримка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заходів у рамках Всеукраїнської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акції «16 днів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протии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насильства» та інших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інформаційно-просвітницьких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заходів, спрямованих на формування нетерпимого ставлення у суспільстві до всіх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проявів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насильства та мотивування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потерпілих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звертатися за допо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могою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5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ради, КУ «Менський міський центр соціальних служб» Менської міської ради, КУ «Менський територіальний центр надання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оціальних послуг» Менської міської ради, Служба у справах дітей Менської міської ради, Відділ освіти Менської міської ради, КНП «Менський центр первинної медико-санітарної допомоги» Менської міської ради, КНП «Менська міська лікарня» Менської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відділення № 1 Корюківського відділу поліції Головного управління Національної поліції в Чернігівській області.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tabs>
                <w:tab w:val="left" w:leader="none" w:pos="4177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заходів,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спрямованих на популяризацію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сімейних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цінностей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відродження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родинних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традицій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 Міжнародного дня сім’ї, Дня матері,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батька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та охорони здоровʼя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КУ «Менський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міський центр соціальних служб» 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 Менської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Style w:val="958"/>
              <w:pBdr/>
              <w:spacing w:after="0"/>
              <w:ind w:right="32" w:lef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Проведення інформаційно-просвітницьких програм, рекламних кампаній, інших заходів, спрямованих на </w:t>
            </w:r>
            <w:r>
              <w:rPr>
                <w:sz w:val="24"/>
                <w:szCs w:val="24"/>
                <w:lang w:eastAsia="uk-UA"/>
              </w:rPr>
              <w:t xml:space="preserve">підвищення  престижу сім’ї, посилення орієнтацій на шлюб та відповідальне батьківство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95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та охорони здоровʼя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КУ «Менський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міський центр соціальних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ужб» 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«Менський територіальний центр надання соціальних послуг»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/>
            <w:tcW w:w="1010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напрямком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24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9"/>
            <w:tcBorders/>
            <w:tcW w:w="14684" w:type="dxa"/>
            <w:textDirection w:val="lrTb"/>
            <w:noWrap/>
          </w:tcPr>
          <w:p>
            <w:pPr>
              <w:pBdr/>
              <w:tabs>
                <w:tab w:val="left" w:leader="none" w:pos="6270"/>
                <w:tab w:val="center" w:leader="none" w:pos="7851"/>
              </w:tabs>
              <w:spacing w:after="0" w:line="240" w:lineRule="auto"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2. Забезпечення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гендерної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рівності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організацію конкурсу «Жінка року»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ради, Відділи культури Менської міської ради, КУ «Менський міський центр соціальних служб» Менської міської ради, Відділ освіти Менської 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комунікацій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проведення циклу тренінгових занять з питань жіночого лідерства, профілактики гендерного насильства.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ради, КУ «Менський міський центр соціальних служб»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Запровадити в закладах освіти Менської міської ради виховні години, бесіди, семінари з питань гендерної освіти в сучасній школі.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Комунальна установа «Центр професійного розвитку педагогічних працівників»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Сприяти об’єктивному висвітленню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місцевих засобах масової інформації матеріалів з гендерних питань та утвердження гендерної рівності в українському суспільстві.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охорони здоровʼя Менської 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комунікацій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/>
            <w:tcW w:w="1010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напрямком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24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9"/>
            <w:tcBorders/>
            <w:tcW w:w="1468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Протидія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торгівлі людьми.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 w:right="-104"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роботи координаційної ради з даних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 w:right="174"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ради, КУ «Менський міський центр соціальних служб»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ської міської ради, КУ «Менський територіальний центр надання соціальних послуг» Менської міської ради, Служба у справах дітей Менської міської ради, Відділ освіти Менської міської ради, КНП «Менський центр первинної медико-санітарної допомоги» Менської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ської ради, КНП «Менська міська лікарня» Менської міської ради, Сектор комунікацій Менської міської ради, Відділ культури Менської міської ради, відділення № 1 Корюківського відділу поліції Головного управління Національної поліції в Чернігівській області.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 w:right="-104" w:left="-104"/>
              <w:jc w:val="both"/>
              <w:rPr>
                <w:rStyle w:val="9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1"/>
                <w:rFonts w:ascii="Times New Roman" w:hAnsi="Times New Roman" w:cs="Times New Roman"/>
                <w:sz w:val="24"/>
                <w:szCs w:val="24"/>
              </w:rPr>
              <w:t xml:space="preserve">Проведення інформаційно-роз’яснювальної роботи з питань протидії торгівлі серед вразливих верств населення.</w:t>
            </w:r>
            <w:r>
              <w:rPr>
                <w:rStyle w:val="9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9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ради, КУ «Менський міський центр соціальних служб»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ської міської ради, КУ «Менський територіальний центр надання соціальних послуг» Менської міської ради, Служба у справах дітей Менської міської ради, Відділ освіти Менської міської ради, КНП «Менський центр первинної медико-санітарної допомоги» Менської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ської ради, КНП «Менська міська лікарня» Менської міської ради, Сектор комунікацій Менської міської ради, Відділ культури Менської міської ради, відділення № 1 Корюківського відділу поліції Головного управління Національної поліції в Чернігівській області.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 w:right="-104"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1"/>
                <w:rFonts w:ascii="Times New Roman" w:hAnsi="Times New Roman" w:cs="Times New Roman"/>
                <w:sz w:val="24"/>
                <w:szCs w:val="24"/>
              </w:rPr>
              <w:t xml:space="preserve">Виявлення осіб постраждалих внаслідок торгівлі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Відділ соціального захисту населення та охорони здоровʼя Менської міської ради, КУ «Менський міський центр соціальних служб» Мен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ської міської ради, КУ «Менський територіальний центр надання соціальних послуг» Менської міської ради, Служба у справах дітей Менської міської ради, Відділ освіти Менської міської ради, КНП «Менський центр первинної медико-санітарної допомоги» Менської мі</w:t>
            </w:r>
            <w:r>
              <w:rPr>
                <w:rStyle w:val="96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ської ради, КНП «Менська міська лікарня» Менської міської ради, Сектор комунікацій Менської міської ради, Відділ культури Менської міської ради, відділення № 1 Корюківського відділу поліції Головного управління Національної поліції в Чернігівській області.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Style w:val="956"/>
              <w:pBdr/>
              <w:tabs>
                <w:tab w:val="clear" w:leader="none" w:pos="916"/>
                <w:tab w:val="left" w:leader="none" w:pos="1704"/>
                <w:tab w:val="clear" w:leader="none" w:pos="1832"/>
                <w:tab w:val="clear" w:leader="none" w:pos="2748"/>
                <w:tab w:val="clear" w:leader="none" w:pos="3664"/>
                <w:tab w:val="clear" w:leader="none" w:pos="4580"/>
                <w:tab w:val="clear" w:leader="none" w:pos="5496"/>
                <w:tab w:val="clear" w:leader="none" w:pos="6412"/>
                <w:tab w:val="clear" w:leader="none" w:pos="7328"/>
                <w:tab w:val="clear" w:leader="none" w:pos="8244"/>
                <w:tab w:val="clear" w:leader="none" w:pos="9160"/>
                <w:tab w:val="clear" w:leader="none" w:pos="10076"/>
                <w:tab w:val="clear" w:leader="none" w:pos="10992"/>
                <w:tab w:val="clear" w:leader="none" w:pos="11908"/>
                <w:tab w:val="clear" w:leader="none" w:pos="12824"/>
                <w:tab w:val="clear" w:leader="none" w:pos="13740"/>
                <w:tab w:val="clear" w:leader="none" w:pos="14656"/>
              </w:tabs>
              <w:spacing/>
              <w:ind w:right="-104" w:lef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Надання консультацій особам постраждалим від торгівлі людьми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Style w:val="9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ради, КУ «Менський міський центр соціальних служб» Менської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КУ «Менський територіальний центр надання соціальних послуг» Менської міської ради, Служба у справах дітей Менської міської ради, відділення № 1 Корюківського відділу поліції Головного управління Національної поліції в Чернігівській області.</w:t>
            </w:r>
            <w:r>
              <w:rPr>
                <w:rStyle w:val="9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9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393" w:type="dxa"/>
            <w:textDirection w:val="lrTb"/>
            <w:noWrap/>
          </w:tcPr>
          <w:p>
            <w:pPr>
              <w:pBdr/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проектів та заходів громадських організацій, благодійних фондів щодо протидії торгівлі людьми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5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2025 - 2027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1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та охорони здоровʼя Менської міської ради, КУ «Менський міський центр соціальних служб» Менської міської ради, КУ «Менський територіальний центр надання соціальних послуг»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4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/>
            <w:tcW w:w="1010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напрямком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24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/>
            <w:tcW w:w="10103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Програмою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24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Начальник Відділу соціального захисту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населення та охорони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здоров’я міської ради                                                                                          Марина МОСКАЛЬЧУК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1906" w:orient="landscape" w:w="16838"/>
      <w:pgMar w:top="1134" w:right="567" w:bottom="1134" w:left="1701" w:header="709" w:footer="709" w:gutter="0"/>
      <w:pgNumType w:start="9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10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806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jc w:val="center"/>
      <w:rPr>
        <w:rFonts w:ascii="Times New Roman" w:hAnsi="Times New Roman" w:eastAsia="Times New Roman" w:cs="Times New Roman"/>
      </w:rPr>
    </w:pPr>
    <w:r>
      <w:fldChar w:fldCharType="begin"/>
    </w:r>
    <w:r>
      <w:instrText xml:space="preserve">PAGE \* </w:instrText>
    </w:r>
    <w:r>
      <w:instrText xml:space="preserve">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9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             продовження додатка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  <w:p>
    <w:pPr>
      <w:pStyle w:val="8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6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6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6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6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6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6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6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6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6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uk-UA" w:eastAsia="uk-UA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9">
    <w:name w:val="Heading 1"/>
    <w:basedOn w:val="768"/>
    <w:next w:val="768"/>
    <w:link w:val="7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0">
    <w:name w:val="Heading 2"/>
    <w:basedOn w:val="768"/>
    <w:next w:val="768"/>
    <w:link w:val="7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51">
    <w:name w:val="Heading 3"/>
    <w:basedOn w:val="768"/>
    <w:next w:val="768"/>
    <w:link w:val="7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2">
    <w:name w:val="Heading 4"/>
    <w:basedOn w:val="768"/>
    <w:next w:val="768"/>
    <w:link w:val="7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3">
    <w:name w:val="Heading 5"/>
    <w:basedOn w:val="768"/>
    <w:next w:val="768"/>
    <w:link w:val="7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54">
    <w:name w:val="Heading 6"/>
    <w:basedOn w:val="768"/>
    <w:next w:val="768"/>
    <w:link w:val="78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5">
    <w:name w:val="Heading 7"/>
    <w:basedOn w:val="768"/>
    <w:next w:val="768"/>
    <w:link w:val="7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6">
    <w:name w:val="Heading 8"/>
    <w:basedOn w:val="768"/>
    <w:next w:val="768"/>
    <w:link w:val="79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7">
    <w:name w:val="Heading 9"/>
    <w:basedOn w:val="768"/>
    <w:next w:val="768"/>
    <w:link w:val="7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8">
    <w:name w:val="Intense Emphasis"/>
    <w:basedOn w:val="7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Intense Reference"/>
    <w:basedOn w:val="7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0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1">
    <w:name w:val="Emphasis"/>
    <w:basedOn w:val="769"/>
    <w:uiPriority w:val="20"/>
    <w:qFormat/>
    <w:pPr>
      <w:pBdr/>
      <w:spacing/>
      <w:ind/>
    </w:pPr>
    <w:rPr>
      <w:i/>
      <w:iCs/>
    </w:rPr>
  </w:style>
  <w:style w:type="character" w:styleId="762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4">
    <w:name w:val="Header"/>
    <w:basedOn w:val="768"/>
    <w:link w:val="8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5">
    <w:name w:val="Footer"/>
    <w:basedOn w:val="768"/>
    <w:link w:val="8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6">
    <w:name w:val="Caption"/>
    <w:basedOn w:val="768"/>
    <w:next w:val="7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67">
    <w:name w:val="FollowedHyperlink"/>
    <w:basedOn w:val="7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8" w:default="1">
    <w:name w:val="Normal"/>
    <w:qFormat/>
    <w:pPr>
      <w:pBdr/>
      <w:spacing/>
      <w:ind/>
    </w:pPr>
  </w:style>
  <w:style w:type="character" w:styleId="769" w:default="1">
    <w:name w:val="Default Paragraph Font"/>
    <w:uiPriority w:val="1"/>
    <w:semiHidden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character" w:styleId="772" w:customStyle="1">
    <w:name w:val="Title Char"/>
    <w:basedOn w:val="769"/>
    <w:uiPriority w:val="10"/>
    <w:pPr>
      <w:pBdr/>
      <w:spacing/>
      <w:ind/>
    </w:pPr>
    <w:rPr>
      <w:sz w:val="48"/>
      <w:szCs w:val="48"/>
    </w:rPr>
  </w:style>
  <w:style w:type="character" w:styleId="773" w:customStyle="1">
    <w:name w:val="Subtitle Char"/>
    <w:basedOn w:val="769"/>
    <w:uiPriority w:val="11"/>
    <w:pPr>
      <w:pBdr/>
      <w:spacing/>
      <w:ind/>
    </w:pPr>
    <w:rPr>
      <w:sz w:val="24"/>
      <w:szCs w:val="24"/>
    </w:rPr>
  </w:style>
  <w:style w:type="character" w:styleId="774" w:customStyle="1">
    <w:name w:val="Quote Char"/>
    <w:uiPriority w:val="29"/>
    <w:pPr>
      <w:pBdr/>
      <w:spacing/>
      <w:ind/>
    </w:pPr>
    <w:rPr>
      <w:i/>
    </w:rPr>
  </w:style>
  <w:style w:type="character" w:styleId="775" w:customStyle="1">
    <w:name w:val="Intense Quote Char"/>
    <w:uiPriority w:val="30"/>
    <w:pPr>
      <w:pBdr/>
      <w:spacing/>
      <w:ind/>
    </w:pPr>
    <w:rPr>
      <w:i/>
    </w:rPr>
  </w:style>
  <w:style w:type="character" w:styleId="776" w:customStyle="1">
    <w:name w:val="Footnote Text Char"/>
    <w:uiPriority w:val="99"/>
    <w:pPr>
      <w:pBdr/>
      <w:spacing/>
      <w:ind/>
    </w:pPr>
    <w:rPr>
      <w:sz w:val="18"/>
    </w:rPr>
  </w:style>
  <w:style w:type="character" w:styleId="777" w:customStyle="1">
    <w:name w:val="Endnote Text Char"/>
    <w:uiPriority w:val="99"/>
    <w:pPr>
      <w:pBdr/>
      <w:spacing/>
      <w:ind/>
    </w:pPr>
    <w:rPr>
      <w:sz w:val="20"/>
    </w:rPr>
  </w:style>
  <w:style w:type="paragraph" w:styleId="778" w:customStyle="1">
    <w:name w:val="Заголовок 11"/>
    <w:basedOn w:val="768"/>
    <w:next w:val="768"/>
    <w:link w:val="77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9" w:customStyle="1">
    <w:name w:val="Heading 1 Char"/>
    <w:basedOn w:val="769"/>
    <w:link w:val="7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0" w:customStyle="1">
    <w:name w:val="Заголовок 21"/>
    <w:basedOn w:val="768"/>
    <w:next w:val="768"/>
    <w:link w:val="78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81" w:customStyle="1">
    <w:name w:val="Heading 2 Char"/>
    <w:basedOn w:val="769"/>
    <w:link w:val="7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2" w:customStyle="1">
    <w:name w:val="Заголовок 31"/>
    <w:basedOn w:val="768"/>
    <w:next w:val="768"/>
    <w:link w:val="78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3" w:customStyle="1">
    <w:name w:val="Heading 3 Char"/>
    <w:basedOn w:val="769"/>
    <w:link w:val="7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4" w:customStyle="1">
    <w:name w:val="Заголовок 41"/>
    <w:basedOn w:val="768"/>
    <w:next w:val="768"/>
    <w:link w:val="78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4 Char"/>
    <w:basedOn w:val="769"/>
    <w:link w:val="7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6" w:customStyle="1">
    <w:name w:val="Заголовок 51"/>
    <w:basedOn w:val="768"/>
    <w:next w:val="768"/>
    <w:link w:val="78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5 Char"/>
    <w:basedOn w:val="769"/>
    <w:link w:val="7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8" w:customStyle="1">
    <w:name w:val="Заголовок 61"/>
    <w:basedOn w:val="768"/>
    <w:next w:val="768"/>
    <w:link w:val="78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89" w:customStyle="1">
    <w:name w:val="Heading 6 Char"/>
    <w:basedOn w:val="769"/>
    <w:link w:val="7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basedOn w:val="768"/>
    <w:next w:val="768"/>
    <w:link w:val="79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1" w:customStyle="1">
    <w:name w:val="Heading 7 Char"/>
    <w:basedOn w:val="769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 w:customStyle="1">
    <w:name w:val="Заголовок 81"/>
    <w:basedOn w:val="768"/>
    <w:next w:val="768"/>
    <w:link w:val="79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93" w:customStyle="1">
    <w:name w:val="Heading 8 Char"/>
    <w:basedOn w:val="769"/>
    <w:link w:val="7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4" w:customStyle="1">
    <w:name w:val="Заголовок 91"/>
    <w:basedOn w:val="768"/>
    <w:next w:val="768"/>
    <w:link w:val="79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Heading 9 Char"/>
    <w:basedOn w:val="769"/>
    <w:link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6">
    <w:name w:val="List Paragraph"/>
    <w:basedOn w:val="768"/>
    <w:uiPriority w:val="34"/>
    <w:qFormat/>
    <w:pPr>
      <w:pBdr/>
      <w:spacing/>
      <w:ind w:left="720"/>
      <w:contextualSpacing w:val="true"/>
    </w:pPr>
  </w:style>
  <w:style w:type="paragraph" w:styleId="797">
    <w:name w:val="No Spacing"/>
    <w:uiPriority w:val="1"/>
    <w:qFormat/>
    <w:pPr>
      <w:pBdr/>
      <w:spacing w:after="0" w:line="240" w:lineRule="auto"/>
      <w:ind/>
    </w:pPr>
  </w:style>
  <w:style w:type="paragraph" w:styleId="798">
    <w:name w:val="Title"/>
    <w:basedOn w:val="768"/>
    <w:next w:val="768"/>
    <w:link w:val="79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99" w:customStyle="1">
    <w:name w:val="Название Знак"/>
    <w:basedOn w:val="769"/>
    <w:link w:val="798"/>
    <w:uiPriority w:val="10"/>
    <w:pPr>
      <w:pBdr/>
      <w:spacing/>
      <w:ind/>
    </w:pPr>
    <w:rPr>
      <w:sz w:val="48"/>
      <w:szCs w:val="48"/>
    </w:rPr>
  </w:style>
  <w:style w:type="paragraph" w:styleId="800">
    <w:name w:val="Subtitle"/>
    <w:basedOn w:val="768"/>
    <w:next w:val="768"/>
    <w:link w:val="801"/>
    <w:uiPriority w:val="11"/>
    <w:qFormat/>
    <w:pPr>
      <w:pBdr/>
      <w:spacing w:before="200"/>
      <w:ind/>
    </w:pPr>
    <w:rPr>
      <w:sz w:val="24"/>
      <w:szCs w:val="24"/>
    </w:rPr>
  </w:style>
  <w:style w:type="character" w:styleId="801" w:customStyle="1">
    <w:name w:val="Подзаголовок Знак"/>
    <w:basedOn w:val="769"/>
    <w:link w:val="800"/>
    <w:uiPriority w:val="11"/>
    <w:pPr>
      <w:pBdr/>
      <w:spacing/>
      <w:ind/>
    </w:pPr>
    <w:rPr>
      <w:sz w:val="24"/>
      <w:szCs w:val="24"/>
    </w:rPr>
  </w:style>
  <w:style w:type="paragraph" w:styleId="802">
    <w:name w:val="Quote"/>
    <w:basedOn w:val="768"/>
    <w:next w:val="768"/>
    <w:link w:val="803"/>
    <w:uiPriority w:val="29"/>
    <w:qFormat/>
    <w:pPr>
      <w:pBdr/>
      <w:spacing/>
      <w:ind w:right="720" w:left="720"/>
    </w:pPr>
    <w:rPr>
      <w:i/>
    </w:rPr>
  </w:style>
  <w:style w:type="character" w:styleId="803" w:customStyle="1">
    <w:name w:val="Цитата 2 Знак"/>
    <w:link w:val="802"/>
    <w:uiPriority w:val="29"/>
    <w:pPr>
      <w:pBdr/>
      <w:spacing/>
      <w:ind/>
    </w:pPr>
    <w:rPr>
      <w:i/>
    </w:rPr>
  </w:style>
  <w:style w:type="paragraph" w:styleId="804">
    <w:name w:val="Intense Quote"/>
    <w:basedOn w:val="768"/>
    <w:next w:val="768"/>
    <w:link w:val="8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5" w:customStyle="1">
    <w:name w:val="Выделенная цитата Знак"/>
    <w:link w:val="804"/>
    <w:uiPriority w:val="30"/>
    <w:pPr>
      <w:pBdr/>
      <w:spacing/>
      <w:ind/>
    </w:pPr>
    <w:rPr>
      <w:i/>
    </w:rPr>
  </w:style>
  <w:style w:type="paragraph" w:styleId="806" w:customStyle="1">
    <w:name w:val="Верхній колонтитул1"/>
    <w:basedOn w:val="768"/>
    <w:link w:val="8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7" w:customStyle="1">
    <w:name w:val="Header Char"/>
    <w:basedOn w:val="769"/>
    <w:link w:val="806"/>
    <w:uiPriority w:val="99"/>
    <w:pPr>
      <w:pBdr/>
      <w:spacing/>
      <w:ind/>
    </w:pPr>
  </w:style>
  <w:style w:type="paragraph" w:styleId="808" w:customStyle="1">
    <w:name w:val="Нижній колонтитул1"/>
    <w:basedOn w:val="768"/>
    <w:link w:val="8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9" w:customStyle="1">
    <w:name w:val="Footer Char"/>
    <w:basedOn w:val="769"/>
    <w:uiPriority w:val="99"/>
    <w:pPr>
      <w:pBdr/>
      <w:spacing/>
      <w:ind/>
    </w:pPr>
  </w:style>
  <w:style w:type="paragraph" w:styleId="810" w:customStyle="1">
    <w:name w:val="Назва об'єкта1"/>
    <w:basedOn w:val="768"/>
    <w:next w:val="76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11" w:customStyle="1">
    <w:name w:val="Caption Char"/>
    <w:link w:val="808"/>
    <w:uiPriority w:val="99"/>
    <w:pPr>
      <w:pBdr/>
      <w:spacing/>
      <w:ind/>
    </w:pPr>
  </w:style>
  <w:style w:type="table" w:styleId="812">
    <w:name w:val="Table Grid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11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21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3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4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5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1 (світла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2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3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4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5 (темна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6 (кольорова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7 (кольорова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1 (світлий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2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3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4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5 (темний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6 (кольоровий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7 (кольоровий)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1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2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3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4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5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6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9">
    <w:name w:val="footnote text"/>
    <w:basedOn w:val="768"/>
    <w:link w:val="9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0" w:customStyle="1">
    <w:name w:val="Текст сноски Знак"/>
    <w:link w:val="939"/>
    <w:uiPriority w:val="99"/>
    <w:pPr>
      <w:pBdr/>
      <w:spacing/>
      <w:ind/>
    </w:pPr>
    <w:rPr>
      <w:sz w:val="18"/>
    </w:rPr>
  </w:style>
  <w:style w:type="character" w:styleId="941">
    <w:name w:val="footnote reference"/>
    <w:basedOn w:val="769"/>
    <w:uiPriority w:val="99"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768"/>
    <w:link w:val="9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3" w:customStyle="1">
    <w:name w:val="Текст концевой сноски Знак"/>
    <w:link w:val="942"/>
    <w:uiPriority w:val="99"/>
    <w:pPr>
      <w:pBdr/>
      <w:spacing/>
      <w:ind/>
    </w:pPr>
    <w:rPr>
      <w:sz w:val="20"/>
    </w:rPr>
  </w:style>
  <w:style w:type="character" w:styleId="944">
    <w:name w:val="end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toc 1"/>
    <w:basedOn w:val="768"/>
    <w:next w:val="768"/>
    <w:uiPriority w:val="39"/>
    <w:unhideWhenUsed/>
    <w:pPr>
      <w:pBdr/>
      <w:spacing w:after="57"/>
      <w:ind/>
    </w:pPr>
  </w:style>
  <w:style w:type="paragraph" w:styleId="946">
    <w:name w:val="toc 2"/>
    <w:basedOn w:val="768"/>
    <w:next w:val="768"/>
    <w:uiPriority w:val="39"/>
    <w:unhideWhenUsed/>
    <w:pPr>
      <w:pBdr/>
      <w:spacing w:after="57"/>
      <w:ind w:left="283"/>
    </w:pPr>
  </w:style>
  <w:style w:type="paragraph" w:styleId="947">
    <w:name w:val="toc 3"/>
    <w:basedOn w:val="768"/>
    <w:next w:val="768"/>
    <w:uiPriority w:val="39"/>
    <w:unhideWhenUsed/>
    <w:pPr>
      <w:pBdr/>
      <w:spacing w:after="57"/>
      <w:ind w:left="567"/>
    </w:pPr>
  </w:style>
  <w:style w:type="paragraph" w:styleId="948">
    <w:name w:val="toc 4"/>
    <w:basedOn w:val="768"/>
    <w:next w:val="768"/>
    <w:uiPriority w:val="39"/>
    <w:unhideWhenUsed/>
    <w:pPr>
      <w:pBdr/>
      <w:spacing w:after="57"/>
      <w:ind w:left="850"/>
    </w:pPr>
  </w:style>
  <w:style w:type="paragraph" w:styleId="949">
    <w:name w:val="toc 5"/>
    <w:basedOn w:val="768"/>
    <w:next w:val="768"/>
    <w:uiPriority w:val="39"/>
    <w:unhideWhenUsed/>
    <w:pPr>
      <w:pBdr/>
      <w:spacing w:after="57"/>
      <w:ind w:left="1134"/>
    </w:pPr>
  </w:style>
  <w:style w:type="paragraph" w:styleId="950">
    <w:name w:val="toc 6"/>
    <w:basedOn w:val="768"/>
    <w:next w:val="768"/>
    <w:uiPriority w:val="39"/>
    <w:unhideWhenUsed/>
    <w:pPr>
      <w:pBdr/>
      <w:spacing w:after="57"/>
      <w:ind w:left="1417"/>
    </w:pPr>
  </w:style>
  <w:style w:type="paragraph" w:styleId="951">
    <w:name w:val="toc 7"/>
    <w:basedOn w:val="768"/>
    <w:next w:val="768"/>
    <w:uiPriority w:val="39"/>
    <w:unhideWhenUsed/>
    <w:pPr>
      <w:pBdr/>
      <w:spacing w:after="57"/>
      <w:ind w:left="1701"/>
    </w:pPr>
  </w:style>
  <w:style w:type="paragraph" w:styleId="952">
    <w:name w:val="toc 8"/>
    <w:basedOn w:val="768"/>
    <w:next w:val="768"/>
    <w:uiPriority w:val="39"/>
    <w:unhideWhenUsed/>
    <w:pPr>
      <w:pBdr/>
      <w:spacing w:after="57"/>
      <w:ind w:left="1984"/>
    </w:pPr>
  </w:style>
  <w:style w:type="paragraph" w:styleId="953">
    <w:name w:val="toc 9"/>
    <w:basedOn w:val="768"/>
    <w:next w:val="768"/>
    <w:uiPriority w:val="39"/>
    <w:unhideWhenUsed/>
    <w:pPr>
      <w:pBdr/>
      <w:spacing w:after="57"/>
      <w:ind w:left="2268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768"/>
    <w:next w:val="768"/>
    <w:uiPriority w:val="99"/>
    <w:unhideWhenUsed/>
    <w:pPr>
      <w:pBdr/>
      <w:spacing w:after="0"/>
      <w:ind/>
    </w:pPr>
  </w:style>
  <w:style w:type="paragraph" w:styleId="956">
    <w:name w:val="HTML Preformatted"/>
    <w:basedOn w:val="768"/>
    <w:link w:val="95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Times New Roman"/>
      <w:color w:val="000000"/>
      <w:sz w:val="19"/>
      <w:szCs w:val="19"/>
      <w:lang w:eastAsia="en-US" w:bidi="en-US"/>
    </w:rPr>
  </w:style>
  <w:style w:type="character" w:styleId="957" w:customStyle="1">
    <w:name w:val="Стандартный HTML Знак"/>
    <w:basedOn w:val="769"/>
    <w:link w:val="956"/>
    <w:pPr>
      <w:pBdr/>
      <w:spacing/>
      <w:ind/>
    </w:pPr>
    <w:rPr>
      <w:rFonts w:ascii="Courier New" w:hAnsi="Courier New" w:eastAsia="Times New Roman" w:cs="Times New Roman"/>
      <w:color w:val="000000"/>
      <w:sz w:val="19"/>
      <w:szCs w:val="19"/>
      <w:lang w:val="uk-UA" w:eastAsia="en-US" w:bidi="en-US"/>
    </w:rPr>
  </w:style>
  <w:style w:type="paragraph" w:styleId="958">
    <w:name w:val="Body Text"/>
    <w:basedOn w:val="768"/>
    <w:link w:val="9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</w:pPr>
    <w:rPr>
      <w:rFonts w:ascii="Times New Roman" w:hAnsi="Times New Roman" w:eastAsia="Times New Roman" w:cs="Times New Roman"/>
      <w:sz w:val="20"/>
      <w:lang w:eastAsia="en-US" w:bidi="en-US"/>
    </w:rPr>
  </w:style>
  <w:style w:type="character" w:styleId="959" w:customStyle="1">
    <w:name w:val="Основной текст Знак"/>
    <w:basedOn w:val="769"/>
    <w:link w:val="958"/>
    <w:pPr>
      <w:pBdr/>
      <w:spacing/>
      <w:ind/>
    </w:pPr>
    <w:rPr>
      <w:rFonts w:ascii="Times New Roman" w:hAnsi="Times New Roman" w:eastAsia="Times New Roman" w:cs="Times New Roman"/>
      <w:sz w:val="20"/>
      <w:lang w:val="uk-UA" w:eastAsia="en-US" w:bidi="en-US"/>
    </w:rPr>
  </w:style>
  <w:style w:type="character" w:styleId="960">
    <w:name w:val="Strong"/>
    <w:basedOn w:val="769"/>
    <w:pPr>
      <w:pBdr/>
      <w:spacing/>
      <w:ind/>
    </w:pPr>
    <w:rPr>
      <w:b/>
      <w:bCs/>
    </w:rPr>
  </w:style>
  <w:style w:type="character" w:styleId="961" w:customStyle="1">
    <w:name w:val="rvts82"/>
    <w:basedOn w:val="76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9181DC5-6EAF-47CB-BBF3-DB9B9DF2FFC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Eco_1</dc:creator>
  <cp:lastModifiedBy>СТАЛЬНИЧЕНКО Юрій Валерійович</cp:lastModifiedBy>
  <cp:revision>4</cp:revision>
  <dcterms:created xsi:type="dcterms:W3CDTF">2024-12-09T14:30:00Z</dcterms:created>
  <dcterms:modified xsi:type="dcterms:W3CDTF">2024-12-22T12:46:42Z</dcterms:modified>
</cp:coreProperties>
</file>