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до рішення 56 сесії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19 грудня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2024 року №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720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Bdr>
          <w:top w:val="none" w:color="000000" w:sz="4" w:space="31"/>
        </w:pBdr>
        <w:spacing w:after="0" w:line="240" w:lineRule="auto"/>
        <w:ind w:right="0" w:firstLine="0" w:left="56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Комплексна програма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</w:r>
    </w:p>
    <w:p>
      <w:pPr>
        <w:pBdr>
          <w:top w:val="none" w:color="000000" w:sz="4" w:space="28"/>
        </w:pBdr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підтримки сім’ї, запобіганню домашньому насильству, забезпечення гендерної рівності та протидії торгівлі людьми у Менській міській територіальній громаді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</w:r>
    </w:p>
    <w:p>
      <w:pPr>
        <w:pBdr>
          <w:top w:val="none" w:color="000000" w:sz="4" w:space="28"/>
        </w:pBdr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на 202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-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 xml:space="preserve">202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 xml:space="preserve">7 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 xml:space="preserve">роки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>
          <w:top w:val="none" w:color="000000" w:sz="4" w:space="28"/>
        </w:pBdr>
        <w:spacing w:after="0" w:line="240" w:lineRule="auto"/>
        <w:ind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</w:r>
      <w:r>
        <w:rPr>
          <w:rFonts w:ascii="Times New Roman" w:hAnsi="Times New Roman" w:cs="Times New Roman"/>
          <w:b/>
          <w:sz w:val="32"/>
          <w:szCs w:val="28"/>
          <w:lang w:val="uk-UA"/>
        </w:rPr>
      </w:r>
      <w:r>
        <w:rPr>
          <w:rFonts w:ascii="Times New Roman" w:hAnsi="Times New Roman" w:cs="Times New Roman"/>
          <w:b/>
          <w:sz w:val="32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720"/>
        <w:contextualSpacing w:val="true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720"/>
        <w:contextualSpacing w:val="true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                                                           м.Мена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31"/>
        </w:pBdr>
        <w:spacing w:after="0" w:line="240" w:lineRule="auto"/>
        <w:ind/>
        <w:jc w:val="left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рік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>
          <w:top w:val="none" w:color="000000" w:sz="4" w:space="28"/>
        </w:pBdr>
        <w:spacing w:after="0" w:line="240" w:lineRule="auto"/>
        <w:ind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Програми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Паспорт Програми.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Загальні положення Програми підтримки сім’ї, запобіганню домашньому насильству, забезпечення гендерної рівності та протидії торгівлі людьми у Менській міській територіальній громаді, на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проблеми, на розв’язання якої спрямована Програма.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Програми.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 Програми.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Шляхи і засоби вирішення проблем.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Очікувані результати і ефективність Програми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реалізації та контроль за виконанням Програми.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929"/>
        <w:pBdr/>
        <w:spacing/>
        <w:ind/>
        <w:rPr/>
      </w:pPr>
      <w:r>
        <w:t xml:space="preserve">ПАСПОРТ ПРОГРАМИ</w:t>
      </w:r>
      <w:r/>
    </w:p>
    <w:tbl>
      <w:tblPr>
        <w:tblW w:w="0" w:type="auto"/>
        <w:tblInd w:w="3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3119"/>
        <w:gridCol w:w="5811"/>
      </w:tblGrid>
      <w:tr>
        <w:trPr/>
        <w:tc>
          <w:tcPr>
            <w:tcBorders/>
            <w:tcW w:w="495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Ініціатор розроблення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11" w:type="dxa"/>
            <w:textDirection w:val="lrTb"/>
            <w:noWrap/>
          </w:tcPr>
          <w:p>
            <w:pPr>
              <w:pBdr/>
              <w:spacing w:after="0" w:line="240" w:lineRule="auto"/>
              <w:ind w:right="-77"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95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11" w:type="dxa"/>
            <w:textDirection w:val="lrTb"/>
            <w:noWrap/>
          </w:tcPr>
          <w:p>
            <w:pPr>
              <w:pBdr/>
              <w:spacing w:after="0" w:line="240" w:lineRule="auto"/>
              <w:ind w:right="-77"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Відділ соціального захисту населення та охорони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здоровʼя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95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11" w:type="dxa"/>
            <w:textDirection w:val="lrTb"/>
            <w:noWrap/>
          </w:tcPr>
          <w:p>
            <w:pPr>
              <w:pBdr/>
              <w:spacing w:after="0" w:line="240" w:lineRule="auto"/>
              <w:ind w:right="-77"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Відділ соціального захисту населення та охорони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здоровʼя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Комунальна установа «Менський міський центр соціальних служб»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95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11" w:type="dxa"/>
            <w:textDirection w:val="lrTb"/>
            <w:noWrap/>
          </w:tcPr>
          <w:p>
            <w:pPr>
              <w:pBdr/>
              <w:spacing w:after="0" w:line="240" w:lineRule="auto"/>
              <w:ind w:right="-77"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Відділ соціального захисту населення та охорони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здоровʼя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служба у справах дітей Менської міської ради, Комунальна установа «Менський міський центр соціальних служб» Менської міської ради, 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ериторіальний центр надання соціальних послуг» Менської міської ради, Відділ освіти Менської міської ради, Відділ культури Менської міської ради, Відділ цифрових трансформацій Менської міської ради, 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відділення № 1 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Корюківського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відділу поліції Головного управління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Національної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поліції в Чернігівській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Style w:val="93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Центр ПМСД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старости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95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11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95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джерел фінансування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11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бюджет, інші джерела фінансування не заборонені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95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(тис.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грн.)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11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Всього: 330,0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 роках: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рік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рік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рік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contextualSpacing w:val="tru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pBdr/>
        <w:spacing/>
        <w:ind/>
        <w:rPr/>
      </w:pPr>
      <w:r>
        <w:t xml:space="preserve">ЗАГАЛЬНІ ПОЛОЖЕННЯ</w:t>
      </w:r>
      <w:r/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підтримки сім’ї, запобіганню домашньому насильству, забезпечення гендерної рівності та протидії торгівлі людьми у Менській міській територіальній громаді на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 (далі – Програма) розроблена 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Конституції України, законів України «Про місцеве самоврядування в Україні», «Про охорону дитинства», «Про запобігання та протидію домашньому насильству», «Про протидію торгівлі людьми», «Про забезпечення рівних прав та можливостей жінок і чоловіків».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прийняття Програми обумовлено необхідністю визначення на місцевому рівні конкретних заходів захисту, підтримки та розвитку сім’ї,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популяризації сімей з дітьми, у тому числі відродження традицій багатодітності, попередження і протидії насильству в 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торгівлі людьми.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і заходи Програми спрямовані на розв’язання проблем у сфері підтримки і розвитку сім’ї, забезпечення гендерної рівності та протидії торгівлі людьми, створення якісного та безпечного середовища життєдіяльності населення.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pBdr/>
        <w:tabs>
          <w:tab w:val="left" w:leader="none" w:pos="425"/>
        </w:tabs>
        <w:spacing/>
        <w:ind w:firstLine="283"/>
        <w:rPr/>
      </w:pPr>
      <w:r>
        <w:t xml:space="preserve">ВИЗНАЧЕННЯ ПРОБЛЕМ, НА РОЗВ’ЯЗАННЯ ЯКИХ СПРЯМОВАНА ПРОГРАМА, ОБҐРУНТУВАННЯ НЕОБХІДНОСТІ ЇХ РОЗВ’ЯЗАННЯ</w:t>
      </w:r>
      <w:r/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Проблеми, спричинені сукупністю взаємопов’язаних та взаємообумовлених чинників, серед яких: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сфері підтримки та розвитку сім’ї: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зниження престижу сім’ї та нівелювання сімейних цінностей;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непідготовленість молоді до подружнього життя;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низька культура статевої та репродуктивної поведінки молоді, внутрішньо-сімейних стосунків;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кількості сімей, які опинилися у складних життєвих обставинах;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поширення сімейного насильства в різних формах;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недостатній рівень педагогічної культури батьків, їх відповідальності за здоров’я та виховання дітей;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незадовільний життєвий рівень значної кількості сімей, низькі стандарти оплати праці, невирішеність житлової проблеми, поширення бідності та злиденності серед сімей з дітьми, слабка орієнтація на свідоме самозабезпечення.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забезпечення гендерної рівності: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гендерних підходів до таких сфер життєдіяльності, як освіта, зайнятість, охорона здоров’я, державна служба, засоби масової інформації, статистика тощо;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сприятливих умов для розширення 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гендерно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-орієнтованих громадських організацій;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інформаційно-просвітницької роботи з питань ліквіда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усіх форм дискримінації за ознакою статі, подолання стереотипів щодо ролі жінок і чоловіків у сім’ї та суспільстві, утвердження духовних цінностей, формування відповідального материнства і батьківства, забезпечення гендерного паритету в духовній сфері;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постійної інформаційно-пропагандистської діяльності у сфері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гендеру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протидії торгівлі людьми: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потреба у забезпеченні координації діяльності органів місцевого самоврядування, громадських організацій у сфері протидії торгівлі людьми;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поінформованість суспільства щодо шляхів убезпечення від потрапляння до ситуацій торгівлі людьми, а також можливостей отримання відповідної допомоги з метою формування навичок безпечної поведінки у населення;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упереджене ставлення до осіб, які постраждали від торгівлі людьми.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pBdr/>
        <w:tabs>
          <w:tab w:val="left" w:leader="none" w:pos="425"/>
        </w:tabs>
        <w:spacing/>
        <w:ind w:firstLine="283"/>
        <w:rPr/>
      </w:pPr>
      <w:r>
        <w:t xml:space="preserve">МЕТА ПРОГРАМИ</w:t>
      </w:r>
      <w:r/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здійснення на місцевому рівні комплексних заходів щодо 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орення правових і соціальних умов для належного розвитку сім’ї, у тому числі удосконалення роботи щодо попередження домашнього насильства, впровадження гендерних підходів в усі сфери життєдіяльності суспільства та вжиття заходів з протидії торгівлі людьми.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Головна мета конкретизується за блоками: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сім’я – створення умов для зміцнення інституту сім’ї та виконання нею своїх соціально-демографічних функцій;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гендерних стереотипів, як бар’єра для повноцінної участі жінок і чоловіків в усіх сферах економічного, політичного, соціального та культурного життя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протидія торгівлі людьми – впровадження ефективного механізму взаємодії у сфері протидії торгівлі людьми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захист прав осіб, що постраждали від торгівлі людьми.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pBdr/>
        <w:tabs>
          <w:tab w:val="left" w:leader="none" w:pos="425"/>
        </w:tabs>
        <w:spacing/>
        <w:ind w:firstLine="283"/>
        <w:rPr/>
      </w:pPr>
      <w:r>
        <w:t xml:space="preserve">ОСНОВНІ ЗАВДАННЯ ПРОГРАМИ</w:t>
      </w:r>
      <w:r/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Основне завдання – реалізація системи комплексних програмних заходів державної сімейної політики у громаді, спрямованих на досягнення головної мети Програми.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і заходи з виконання Програми наведені 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Додатку.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29"/>
        <w:pBdr/>
        <w:tabs>
          <w:tab w:val="left" w:leader="none" w:pos="425"/>
        </w:tabs>
        <w:spacing/>
        <w:ind w:firstLine="283"/>
        <w:rPr/>
      </w:pPr>
      <w:r>
        <w:t xml:space="preserve">ШЛЯХИ І ЗАСОБИ ВИРІШЕННЯ ПРОБЛЕМ</w:t>
      </w:r>
      <w:r/>
    </w:p>
    <w:p>
      <w:pPr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підтримки та розвитку сім’ї: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заходів з підвищення престижу сім’ї та пропагування сімейних цінностей;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зміцнення шлюбу, зниження рівня розлучень;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та проведення рекламних кампаній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та підтримки сім'ї, спрямованих на збереження орієнтацій населення на сімейний спосіб життя, підтримку багатодітних сімей, народження і виховання дітей у сім'ях, популяризацію моделі «доброго батька», виготовлення та поширення соціальної реклами;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проведення місцевих свят та культурологічних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кцій з питань сім'ї (День родини, День матері, День батька), фестивалів-конкурсів для різних категорій сімей, заходів, спрямованих на збереження та популяризацію національних культурних сімейних традицій і цінностей, підвищення престижу багатодітних сімей;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підготовки молоді до подружнього життя;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свідомого та відповідального ставлення молоді до батьківства і материнства;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умов для повноцінного функціонування сім’ї, виховання та всебічного розвитку дітей;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ефективної системи раннього виявлення сімей, у яких вчинюється насильство або є реальна загроза його вчинення, та організації соціальної підтримки таких сімей;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правової культури населення та поінформованості про проблему насильства в сім’ї шляхом проведення широкомасштабної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інформаційно-просвітницької та роз’яснювальної роботи із залученням громадських організацій;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постійного збору інформації у сфері запобігання насильству в сім'ї, проведення аналізу ситуації у зазначеній сфері, регулярного моніторингу ефективності відповідних заходів.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забезпечення гендерної рівності: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та реалізація державної політики у сфері забезпечення гендерної рівності;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інтеграція гендерних питань до процесів ухвалення рішень, їхнього виконання, моніторингу та оцінювання на рівні ініціатив управління;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гендерних підходів до таких сфер життєдіяльності, як освіта, зайнятість, охорона здоров’я, державна служба, засоби масової інформації, статистика тощо;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залучення жінок до активної участі у громадсько-політичному русі шляхом подолання стереотипів щодо їх ролі у суспільстві;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громадського обговорення проектів нормативно-правових актів і програм, спрямованих на забезпечення гендерної рівності;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інформаційно-просвітницької роботи з питань ліквіда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всіх форм дискримінації за ознакою статі, подолання стереотипів щодо ролі жінок і чоловіків у сім’ї та суспільстві, утвердження духовних цінностей, формування відповідального материнства і батьківства, забезпечення гендерного паритету в духовній сфері;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конференцій, засідань за «круглим» столом, навчальних семінарів, інших масових заходів;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постійної інформаційно-пропагандистської діяльності у сфері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гендеру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питань щодо запобігання дискримінації за ознакою статі;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ініціювання громадського контролю за додержанням чинного законодавства з питань гендерної політики;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сприяння діяльності громадських організацій з метою просування ідей гендерної рівності в усіх сферах життєдіяльності суспільства;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моніторингу та проведення аналізу стану забезпечення гендерної рівності у громаді.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протидії торгівлі людьми.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eastAsia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Основними шляхами розв’язання проблеми торгівлі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людьми, надання допомоги і захисту особам, що постраждали від неї, є налагодження співпраці установ та організацій з громадськими організаціями, зокрема, впровадження ефективного механізму взаємодії у сфері протидії торгівлі людьми, за такими напрямами як:</w:t>
      </w:r>
      <w:bookmarkStart w:id="0" w:name="n18"/>
      <w:r/>
      <w:bookmarkEnd w:id="0"/>
      <w:r>
        <w:rPr>
          <w:rFonts w:ascii="Times New Roman" w:hAnsi="Times New Roman" w:eastAsia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інформаційно-роз’яснювальної роботи серед населення, спрямованої на запобігання потраплянню в ситуації, пов’язані з торгівлею людьми;</w:t>
      </w:r>
      <w:bookmarkStart w:id="1" w:name="n19"/>
      <w:r/>
      <w:bookmarkEnd w:id="1"/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постійного моніторингу ефективності заходів, спрямованих на протидію торгівлі людьми;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осіб, які постраждали від торгівлі людьми та надання консультацій про подальші дії.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pBdr/>
        <w:tabs>
          <w:tab w:val="left" w:leader="none" w:pos="425"/>
        </w:tabs>
        <w:spacing/>
        <w:ind w:firstLine="283"/>
        <w:rPr/>
      </w:pPr>
      <w:r>
        <w:t xml:space="preserve">ОЧІКУВАНІ РЕЗУЛЬТАТИ, ЕФЕКТИВНІСТЬ ПРОГРАМИ</w:t>
      </w:r>
      <w:r/>
    </w:p>
    <w:p>
      <w:pPr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дасть змогу: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підтримки та розвитку сім’ї: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підвищити престиж сім'ї та посилити роль сімейних цінностей у суспільстві, формувати позитивне ставлення до багатодітності;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зміцнити шлюб та зменшити кількість розлучень;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мінімізувати асоціальні прояви у життєдіяльності сім’ї, передусім насильства у сім'ї;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надання послуг сім'ям із питань підготовки до майбутнього батьківства та відповідального батьківства у вихованні дітей;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учасників заходів інформаційно-методичними матеріалами щодо підтримки інституту сім’ї та попередження сімейного насильства.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забезпечення гендерної рівності: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збалансованої участі чоловіків та жінок у сфері управління;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необхідних заходів для запобігання насильству та надання допомоги людям, що зазнали насильства, з урахуванням гендерної перспективи;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необхідних заходів щодо протидії торгівлі людьми та надання допомоги потерпілим незалежно від статі;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гендерних стереотипів у ЗМІ, як бар’єра для повноцінної участі жінок і чоловіків в усіх сферах економічного, політичного, соціального та культурного життя.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сфері протидії торгівлі людьми: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підвищити ефективність взаємодії органів державної влади, місцевого самоврядування з громадськими організаціями та іншими юридичними особами у сфері протидії торгівлі людьми;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підвищити рівень поінформованості і правової культури населення з питань протидії торгівлі людьми;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надання комплексної допомоги жертвам торгівлі людьм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pBdr/>
        <w:tabs>
          <w:tab w:val="left" w:leader="none" w:pos="425"/>
        </w:tabs>
        <w:spacing/>
        <w:ind w:firstLine="283"/>
        <w:rPr/>
      </w:pPr>
      <w:r>
        <w:t xml:space="preserve">ФІНАНСОВЕ ЗАБЕЗПЕЧЕННЯ ПРОГРАМИ</w:t>
      </w:r>
      <w:r/>
    </w:p>
    <w:p>
      <w:pPr>
        <w:pStyle w:val="931"/>
        <w:pBdr/>
        <w:spacing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Фінансування заходів Програми здійснюється за рахунок коштів, передбачених у місцевому бюджеті, а також інших не заборонених законодавством джерел.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" w:firstLine="709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Орієнтовані обсяги фінансування Програми: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3171"/>
        <w:gridCol w:w="1809"/>
        <w:gridCol w:w="992"/>
        <w:gridCol w:w="1134"/>
        <w:gridCol w:w="994"/>
      </w:tblGrid>
      <w:tr>
        <w:trPr>
          <w:cantSplit/>
        </w:trPr>
        <w:tc>
          <w:tcPr>
            <w:tcBorders/>
            <w:tcW w:w="1602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Джерела фінансування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</w:p>
        </w:tc>
        <w:tc>
          <w:tcPr>
            <w:tcBorders/>
            <w:tcW w:w="3171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Найменування розділу комплексної Програми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</w:p>
        </w:tc>
        <w:tc>
          <w:tcPr>
            <w:tcBorders/>
            <w:tcW w:w="1809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Обсяг фінансування, всього (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тис.грн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.)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</w:p>
        </w:tc>
        <w:tc>
          <w:tcPr>
            <w:gridSpan w:val="3"/>
            <w:tcBorders/>
            <w:tcW w:w="3120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Етапи виконання Програми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1602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3171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1809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2025 рік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2026 рік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</w:p>
        </w:tc>
        <w:tc>
          <w:tcPr>
            <w:tcBorders/>
            <w:tcW w:w="994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2027 рік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16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171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Підтримка сім’ї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1602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71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гендерної рівності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1602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71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Протидія торгівлі людьми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1602" w:type="dxa"/>
            <w:vMerge w:val="continue"/>
            <w:textDirection w:val="lrTb"/>
            <w:noWrap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71" w:type="dxa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9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</w:tbl>
    <w:p>
      <w:pPr>
        <w:pStyle w:val="929"/>
        <w:pBdr/>
        <w:tabs>
          <w:tab w:val="left" w:leader="none" w:pos="425"/>
        </w:tabs>
        <w:spacing/>
        <w:ind w:firstLine="283"/>
        <w:rPr/>
      </w:pPr>
      <w:r>
        <w:t xml:space="preserve">МЕХАНІЗМ РЕАЛІЗАЦІЇ ПРОГРАМИ ТА КОНТРОЛЬ ЗА ЇЇ ВИКОНАННЯМ</w:t>
      </w:r>
      <w:r/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виконання завдань Прог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рами передбачається шляхом виконання заходів, підвищення ефективності взаємодії органів місцевого самоврядування, виконавчої влади та громадських організацій з питань підтримки та розвитку сім’ї, забезпечення гендерної рівності та протидії торгівлі людьми.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діяльності щодо виконання основних заходів Програми забезпечує відділ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соціального захисту населення та охорони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здоровʼя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контроль за ходом реалізації Програми здійснює Менська міська рада.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Виконавці, задіяні у Програмі, інформують про виконання заходів відділ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соціального захисту населення та охорони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здоровʼя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щоквартально. На підставі отриманих даних здійснюється аналіз ефективності виконання Програми та використання бюджетних коштів.</w:t>
      </w:r>
      <w:bookmarkStart w:id="2" w:name="n28"/>
      <w:r/>
      <w:bookmarkStart w:id="3" w:name="n29"/>
      <w:r/>
      <w:bookmarkStart w:id="4" w:name="n30"/>
      <w:r/>
      <w:bookmarkStart w:id="5" w:name="n31"/>
      <w:r/>
      <w:bookmarkEnd w:id="2"/>
      <w:r/>
      <w:bookmarkEnd w:id="3"/>
      <w:r/>
      <w:bookmarkEnd w:id="4"/>
      <w:r/>
      <w:bookmarkEnd w:id="5"/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Начальник Відділу соціального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захисту</w:t>
      </w:r>
      <w:r>
        <w:rPr>
          <w:rFonts w:ascii="Times New Roman" w:hAnsi="Times New Roman" w:eastAsia="Times New Roman" w:cs="Times New Roman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населення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та охорони</w:t>
      </w:r>
      <w:r>
        <w:rPr>
          <w:rFonts w:ascii="Times New Roman" w:hAnsi="Times New Roman" w:eastAsia="Times New Roman" w:cs="Times New Roman"/>
          <w:lang w:val="uk-UA"/>
        </w:rPr>
      </w:r>
      <w:r>
        <w:rPr>
          <w:rFonts w:ascii="Times New Roman" w:hAnsi="Times New Roman" w:eastAsia="Times New Roman" w:cs="Times New Roman"/>
          <w:lang w:val="uk-UA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здоров’я міської ради </w:t>
      </w:r>
      <w:r>
        <w:rPr>
          <w:rFonts w:ascii="Times New Roman" w:hAnsi="Times New Roman" w:eastAsia="Times New Roman" w:cs="Times New Roman"/>
          <w:sz w:val="28"/>
          <w:lang w:val="uk-UA"/>
        </w:rPr>
        <w:tab/>
        <w:t xml:space="preserve">Марина МОСКАЛЬЧУК</w:t>
      </w:r>
      <w:r>
        <w:rPr>
          <w:rFonts w:ascii="Times New Roman" w:hAnsi="Times New Roman" w:eastAsia="Times New Roman" w:cs="Times New Roman"/>
          <w:lang w:val="uk-UA"/>
        </w:rPr>
      </w:r>
      <w:r>
        <w:rPr>
          <w:rFonts w:ascii="Times New Roman" w:hAnsi="Times New Roman" w:eastAsia="Times New Roman" w:cs="Times New Roman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34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left" w:leader="none" w:pos="2551"/>
        <w:tab w:val="left" w:leader="none" w:pos="2693"/>
        <w:tab w:val="clear" w:leader="none" w:pos="7143"/>
        <w:tab w:val="clear" w:leader="none" w:pos="14287"/>
      </w:tabs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ab/>
    </w:r>
    <w:r>
      <w:rPr>
        <w:rFonts w:ascii="Times New Roman" w:hAnsi="Times New Roman" w:eastAsia="Times New Roman" w:cs="Times New Roman"/>
        <w:i/>
        <w:sz w:val="24"/>
      </w:rPr>
      <w:t xml:space="preserve">продовження</w:t>
    </w:r>
    <w:r>
      <w:rPr>
        <w:rFonts w:ascii="Times New Roman" w:hAnsi="Times New Roman" w:eastAsia="Times New Roman" w:cs="Times New Roman"/>
        <w:i/>
        <w:sz w:val="24"/>
      </w:rPr>
      <w:t xml:space="preserve"> </w:t>
    </w:r>
    <w:r>
      <w:rPr>
        <w:rFonts w:ascii="Times New Roman" w:hAnsi="Times New Roman" w:eastAsia="Times New Roman" w:cs="Times New Roman"/>
        <w:i/>
        <w:sz w:val="24"/>
      </w:rPr>
      <w:t xml:space="preserve">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left="5669"/>
      <w:jc w:val="both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bCs/>
        <w:iCs/>
        <w:sz w:val="28"/>
        <w:szCs w:val="28"/>
        <w:lang w:val="uk-UA"/>
      </w:rPr>
    </w:r>
    <w:r>
      <w:rPr>
        <w:rFonts w:ascii="Times New Roman" w:hAnsi="Times New Roman" w:cs="Times New Roman"/>
        <w:sz w:val="28"/>
        <w:szCs w:val="28"/>
        <w:lang w:val="uk-UA"/>
      </w:rPr>
    </w:r>
    <w:r>
      <w:rPr>
        <w:rFonts w:ascii="Times New Roman" w:hAnsi="Times New Roman" w:cs="Times New Roman"/>
        <w:sz w:val="28"/>
        <w:szCs w:val="28"/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upperRoman"/>
      <w:pPr>
        <w:pBdr/>
        <w:spacing/>
        <w:ind w:hanging="360" w:left="709"/>
      </w:pPr>
      <w:pStyle w:val="92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6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6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6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6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6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6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6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6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6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6" w:left="720"/>
      </w:pPr>
      <w:rPr/>
      <w:start w:val="3"/>
      <w:suff w:val="tab"/>
    </w:lvl>
    <w:lvl w:ilvl="1">
      <w:isLgl w:val="false"/>
      <w:lvlJc w:val="left"/>
      <w:lvlText w:val="-"/>
      <w:numFmt w:val="bullet"/>
      <w:pPr>
        <w:pBdr/>
        <w:spacing/>
        <w:ind w:hanging="356" w:left="1440"/>
      </w:pPr>
      <w:rPr>
        <w:rFonts w:ascii="Times New Roman" w:hAnsi="Times New Roman" w:eastAsia="Times New Roman"/>
      </w:rPr>
      <w:start w:val="1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6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6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6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6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6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6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6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6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6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6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6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6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6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6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6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6" w:left="6480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5">
    <w:name w:val="Heading 1"/>
    <w:basedOn w:val="742"/>
    <w:next w:val="742"/>
    <w:link w:val="7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6">
    <w:name w:val="Heading 2"/>
    <w:basedOn w:val="742"/>
    <w:next w:val="742"/>
    <w:link w:val="7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7">
    <w:name w:val="Heading 3"/>
    <w:basedOn w:val="742"/>
    <w:next w:val="742"/>
    <w:link w:val="75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8">
    <w:name w:val="Heading 4"/>
    <w:basedOn w:val="742"/>
    <w:next w:val="742"/>
    <w:link w:val="7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9">
    <w:name w:val="Heading 5"/>
    <w:basedOn w:val="742"/>
    <w:next w:val="742"/>
    <w:link w:val="76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30">
    <w:name w:val="Heading 6"/>
    <w:basedOn w:val="742"/>
    <w:next w:val="742"/>
    <w:link w:val="7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1">
    <w:name w:val="Heading 7"/>
    <w:basedOn w:val="742"/>
    <w:next w:val="742"/>
    <w:link w:val="7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2">
    <w:name w:val="Heading 8"/>
    <w:basedOn w:val="742"/>
    <w:next w:val="742"/>
    <w:link w:val="7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3">
    <w:name w:val="Heading 9"/>
    <w:basedOn w:val="742"/>
    <w:next w:val="742"/>
    <w:link w:val="7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5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6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38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Caption"/>
    <w:basedOn w:val="742"/>
    <w:next w:val="7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41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2" w:default="1">
    <w:name w:val="Normal"/>
    <w:qFormat/>
    <w:pPr>
      <w:pBdr/>
      <w:spacing/>
      <w:ind/>
    </w:p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47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48" w:customStyle="1">
    <w:name w:val="Quote Char"/>
    <w:uiPriority w:val="29"/>
    <w:pPr>
      <w:pBdr/>
      <w:spacing/>
      <w:ind/>
    </w:pPr>
    <w:rPr>
      <w:i/>
    </w:rPr>
  </w:style>
  <w:style w:type="character" w:styleId="749" w:customStyle="1">
    <w:name w:val="Intense Quote Char"/>
    <w:uiPriority w:val="30"/>
    <w:pPr>
      <w:pBdr/>
      <w:spacing/>
      <w:ind/>
    </w:pPr>
    <w:rPr>
      <w:i/>
    </w:rPr>
  </w:style>
  <w:style w:type="character" w:styleId="750" w:customStyle="1">
    <w:name w:val="Footnote Text Char"/>
    <w:uiPriority w:val="99"/>
    <w:pPr>
      <w:pBdr/>
      <w:spacing/>
      <w:ind/>
    </w:pPr>
    <w:rPr>
      <w:sz w:val="18"/>
    </w:rPr>
  </w:style>
  <w:style w:type="character" w:styleId="751" w:customStyle="1">
    <w:name w:val="Endnote Text Char"/>
    <w:uiPriority w:val="99"/>
    <w:pPr>
      <w:pBdr/>
      <w:spacing/>
      <w:ind/>
    </w:pPr>
    <w:rPr>
      <w:sz w:val="20"/>
    </w:rPr>
  </w:style>
  <w:style w:type="paragraph" w:styleId="752" w:customStyle="1">
    <w:name w:val="Заголовок 11"/>
    <w:basedOn w:val="742"/>
    <w:next w:val="742"/>
    <w:link w:val="75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3" w:customStyle="1">
    <w:name w:val="Heading 1 Char"/>
    <w:basedOn w:val="743"/>
    <w:link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4" w:customStyle="1">
    <w:name w:val="Заголовок 21"/>
    <w:basedOn w:val="742"/>
    <w:next w:val="742"/>
    <w:link w:val="75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55" w:customStyle="1">
    <w:name w:val="Heading 2 Char"/>
    <w:basedOn w:val="743"/>
    <w:link w:val="75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6" w:customStyle="1">
    <w:name w:val="Заголовок 31"/>
    <w:basedOn w:val="742"/>
    <w:next w:val="742"/>
    <w:link w:val="75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7" w:customStyle="1">
    <w:name w:val="Heading 3 Char"/>
    <w:basedOn w:val="743"/>
    <w:link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8" w:customStyle="1">
    <w:name w:val="Заголовок 41"/>
    <w:basedOn w:val="742"/>
    <w:next w:val="742"/>
    <w:link w:val="75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4 Char"/>
    <w:basedOn w:val="743"/>
    <w:link w:val="75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0" w:customStyle="1">
    <w:name w:val="Заголовок 51"/>
    <w:basedOn w:val="742"/>
    <w:next w:val="742"/>
    <w:link w:val="76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5 Char"/>
    <w:basedOn w:val="743"/>
    <w:link w:val="7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2" w:customStyle="1">
    <w:name w:val="Заголовок 61"/>
    <w:basedOn w:val="742"/>
    <w:next w:val="742"/>
    <w:link w:val="76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63" w:customStyle="1">
    <w:name w:val="Heading 6 Char"/>
    <w:basedOn w:val="743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4" w:customStyle="1">
    <w:name w:val="Заголовок 71"/>
    <w:basedOn w:val="742"/>
    <w:next w:val="742"/>
    <w:link w:val="76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5" w:customStyle="1">
    <w:name w:val="Heading 7 Char"/>
    <w:basedOn w:val="743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 w:customStyle="1">
    <w:name w:val="Заголовок 81"/>
    <w:basedOn w:val="742"/>
    <w:next w:val="742"/>
    <w:link w:val="76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67" w:customStyle="1">
    <w:name w:val="Heading 8 Char"/>
    <w:basedOn w:val="743"/>
    <w:link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8" w:customStyle="1">
    <w:name w:val="Заголовок 91"/>
    <w:basedOn w:val="742"/>
    <w:next w:val="742"/>
    <w:link w:val="76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Heading 9 Char"/>
    <w:basedOn w:val="743"/>
    <w:link w:val="76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pBdr/>
      <w:spacing w:after="0" w:line="240" w:lineRule="auto"/>
      <w:ind/>
    </w:pPr>
  </w:style>
  <w:style w:type="paragraph" w:styleId="771">
    <w:name w:val="Title"/>
    <w:basedOn w:val="742"/>
    <w:next w:val="742"/>
    <w:link w:val="77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2" w:customStyle="1">
    <w:name w:val="Назва Знак"/>
    <w:basedOn w:val="743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42"/>
    <w:next w:val="742"/>
    <w:link w:val="774"/>
    <w:uiPriority w:val="11"/>
    <w:qFormat/>
    <w:pPr>
      <w:pBdr/>
      <w:spacing w:before="200"/>
      <w:ind/>
    </w:pPr>
    <w:rPr>
      <w:sz w:val="24"/>
      <w:szCs w:val="24"/>
    </w:rPr>
  </w:style>
  <w:style w:type="character" w:styleId="774" w:customStyle="1">
    <w:name w:val="Підзаголовок Знак"/>
    <w:basedOn w:val="743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42"/>
    <w:next w:val="742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42"/>
    <w:next w:val="742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Насичена цитата Знак"/>
    <w:link w:val="777"/>
    <w:uiPriority w:val="30"/>
    <w:pPr>
      <w:pBdr/>
      <w:spacing/>
      <w:ind/>
    </w:pPr>
    <w:rPr>
      <w:i/>
    </w:rPr>
  </w:style>
  <w:style w:type="paragraph" w:styleId="779" w:customStyle="1">
    <w:name w:val="Верхній колонтитул1"/>
    <w:basedOn w:val="742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0" w:customStyle="1">
    <w:name w:val="Header Char"/>
    <w:basedOn w:val="743"/>
    <w:link w:val="779"/>
    <w:uiPriority w:val="99"/>
    <w:pPr>
      <w:pBdr/>
      <w:spacing/>
      <w:ind/>
    </w:pPr>
  </w:style>
  <w:style w:type="paragraph" w:styleId="781" w:customStyle="1">
    <w:name w:val="Нижній колонтитул1"/>
    <w:basedOn w:val="742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2" w:customStyle="1">
    <w:name w:val="Footer Char"/>
    <w:basedOn w:val="743"/>
    <w:uiPriority w:val="99"/>
    <w:pPr>
      <w:pBdr/>
      <w:spacing/>
      <w:ind/>
    </w:pPr>
  </w:style>
  <w:style w:type="paragraph" w:styleId="783" w:customStyle="1">
    <w:name w:val="Назва об'єкта1"/>
    <w:basedOn w:val="742"/>
    <w:next w:val="742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84" w:customStyle="1">
    <w:name w:val="Caption Char"/>
    <w:link w:val="781"/>
    <w:uiPriority w:val="99"/>
    <w:pPr>
      <w:pBdr/>
      <w:spacing/>
      <w:ind/>
    </w:pPr>
  </w:style>
  <w:style w:type="table" w:styleId="785">
    <w:name w:val="Table Grid"/>
    <w:basedOn w:val="74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742"/>
    <w:link w:val="9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3" w:customStyle="1">
    <w:name w:val="Текст ви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15">
    <w:name w:val="endnote text"/>
    <w:basedOn w:val="742"/>
    <w:link w:val="9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6" w:customStyle="1">
    <w:name w:val="Текст кінцевої виноски Знак"/>
    <w:link w:val="915"/>
    <w:uiPriority w:val="99"/>
    <w:pPr>
      <w:pBdr/>
      <w:spacing/>
      <w:ind/>
    </w:pPr>
    <w:rPr>
      <w:sz w:val="20"/>
    </w:rPr>
  </w:style>
  <w:style w:type="character" w:styleId="917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8">
    <w:name w:val="toc 1"/>
    <w:basedOn w:val="742"/>
    <w:next w:val="742"/>
    <w:uiPriority w:val="39"/>
    <w:unhideWhenUsed/>
    <w:pPr>
      <w:pBdr/>
      <w:spacing w:after="57"/>
      <w:ind/>
    </w:pPr>
  </w:style>
  <w:style w:type="paragraph" w:styleId="919">
    <w:name w:val="toc 2"/>
    <w:basedOn w:val="742"/>
    <w:next w:val="742"/>
    <w:uiPriority w:val="39"/>
    <w:unhideWhenUsed/>
    <w:pPr>
      <w:pBdr/>
      <w:spacing w:after="57"/>
      <w:ind w:left="283"/>
    </w:pPr>
  </w:style>
  <w:style w:type="paragraph" w:styleId="920">
    <w:name w:val="toc 3"/>
    <w:basedOn w:val="742"/>
    <w:next w:val="742"/>
    <w:uiPriority w:val="39"/>
    <w:unhideWhenUsed/>
    <w:pPr>
      <w:pBdr/>
      <w:spacing w:after="57"/>
      <w:ind w:left="567"/>
    </w:pPr>
  </w:style>
  <w:style w:type="paragraph" w:styleId="921">
    <w:name w:val="toc 4"/>
    <w:basedOn w:val="742"/>
    <w:next w:val="742"/>
    <w:uiPriority w:val="39"/>
    <w:unhideWhenUsed/>
    <w:pPr>
      <w:pBdr/>
      <w:spacing w:after="57"/>
      <w:ind w:left="850"/>
    </w:pPr>
  </w:style>
  <w:style w:type="paragraph" w:styleId="922">
    <w:name w:val="toc 5"/>
    <w:basedOn w:val="742"/>
    <w:next w:val="742"/>
    <w:uiPriority w:val="39"/>
    <w:unhideWhenUsed/>
    <w:pPr>
      <w:pBdr/>
      <w:spacing w:after="57"/>
      <w:ind w:left="1134"/>
    </w:pPr>
  </w:style>
  <w:style w:type="paragraph" w:styleId="923">
    <w:name w:val="toc 6"/>
    <w:basedOn w:val="742"/>
    <w:next w:val="742"/>
    <w:uiPriority w:val="39"/>
    <w:unhideWhenUsed/>
    <w:pPr>
      <w:pBdr/>
      <w:spacing w:after="57"/>
      <w:ind w:left="1417"/>
    </w:pPr>
  </w:style>
  <w:style w:type="paragraph" w:styleId="924">
    <w:name w:val="toc 7"/>
    <w:basedOn w:val="742"/>
    <w:next w:val="742"/>
    <w:uiPriority w:val="39"/>
    <w:unhideWhenUsed/>
    <w:pPr>
      <w:pBdr/>
      <w:spacing w:after="57"/>
      <w:ind w:left="1701"/>
    </w:pPr>
  </w:style>
  <w:style w:type="paragraph" w:styleId="925">
    <w:name w:val="toc 8"/>
    <w:basedOn w:val="742"/>
    <w:next w:val="742"/>
    <w:uiPriority w:val="39"/>
    <w:unhideWhenUsed/>
    <w:pPr>
      <w:pBdr/>
      <w:spacing w:after="57"/>
      <w:ind w:left="1984"/>
    </w:pPr>
  </w:style>
  <w:style w:type="paragraph" w:styleId="926">
    <w:name w:val="toc 9"/>
    <w:basedOn w:val="742"/>
    <w:next w:val="742"/>
    <w:uiPriority w:val="39"/>
    <w:unhideWhenUsed/>
    <w:pPr>
      <w:pBdr/>
      <w:spacing w:after="57"/>
      <w:ind w:left="2268"/>
    </w:p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742"/>
    <w:next w:val="742"/>
    <w:uiPriority w:val="99"/>
    <w:unhideWhenUsed/>
    <w:pPr>
      <w:pBdr/>
      <w:spacing w:after="0"/>
      <w:ind/>
    </w:pPr>
  </w:style>
  <w:style w:type="paragraph" w:styleId="929">
    <w:name w:val="List Paragraph"/>
    <w:basedOn w:val="742"/>
    <w:uiPriority w:val="34"/>
    <w:qFormat/>
    <w:pPr>
      <w:numPr>
        <w:numId w:val="4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firstLine="142" w:left="0"/>
      <w:contextualSpacing w:val="true"/>
      <w:jc w:val="center"/>
    </w:pPr>
    <w:rPr>
      <w:rFonts w:ascii="Times New Roman" w:hAnsi="Times New Roman" w:eastAsia="Times New Roman" w:cs="Times New Roman"/>
      <w:b/>
      <w:sz w:val="28"/>
      <w:szCs w:val="28"/>
      <w:lang w:val="uk-UA" w:eastAsia="en-US" w:bidi="en-US"/>
    </w:rPr>
  </w:style>
  <w:style w:type="paragraph" w:styleId="930" w:customStyle="1">
    <w:name w:val="rvps2"/>
    <w:basedOn w:val="74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0"/>
      <w:lang w:val="uk-UA" w:eastAsia="uk-UA" w:bidi="en-US"/>
    </w:rPr>
  </w:style>
  <w:style w:type="paragraph" w:styleId="931">
    <w:name w:val="HTML Preformatted"/>
    <w:basedOn w:val="742"/>
    <w:link w:val="93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Times New Roman"/>
      <w:color w:val="000000"/>
      <w:sz w:val="19"/>
      <w:szCs w:val="19"/>
      <w:lang w:val="uk-UA" w:eastAsia="en-US" w:bidi="en-US"/>
    </w:rPr>
  </w:style>
  <w:style w:type="character" w:styleId="932" w:customStyle="1">
    <w:name w:val="Стандартний HTML Знак"/>
    <w:basedOn w:val="743"/>
    <w:link w:val="931"/>
    <w:pPr>
      <w:pBdr/>
      <w:spacing/>
      <w:ind/>
    </w:pPr>
    <w:rPr>
      <w:rFonts w:ascii="Courier New" w:hAnsi="Courier New" w:eastAsia="Times New Roman" w:cs="Times New Roman"/>
      <w:color w:val="000000"/>
      <w:sz w:val="19"/>
      <w:szCs w:val="19"/>
      <w:lang w:val="uk-UA" w:eastAsia="en-US" w:bidi="en-US"/>
    </w:rPr>
  </w:style>
  <w:style w:type="character" w:styleId="933" w:customStyle="1">
    <w:name w:val="rvts15"/>
    <w:basedOn w:val="743"/>
    <w:pPr>
      <w:pBdr/>
      <w:spacing/>
      <w:ind/>
    </w:pPr>
  </w:style>
  <w:style w:type="paragraph" w:styleId="934">
    <w:name w:val="Body Text"/>
    <w:basedOn w:val="742"/>
    <w:link w:val="93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</w:pPr>
    <w:rPr>
      <w:rFonts w:ascii="Times New Roman" w:hAnsi="Times New Roman" w:eastAsia="Times New Roman" w:cs="Times New Roman"/>
      <w:sz w:val="20"/>
      <w:lang w:val="uk-UA" w:eastAsia="en-US" w:bidi="en-US"/>
    </w:rPr>
  </w:style>
  <w:style w:type="character" w:styleId="935" w:customStyle="1">
    <w:name w:val="Основний текст Знак"/>
    <w:basedOn w:val="743"/>
    <w:link w:val="934"/>
    <w:pPr>
      <w:pBdr/>
      <w:spacing/>
      <w:ind/>
    </w:pPr>
    <w:rPr>
      <w:rFonts w:ascii="Times New Roman" w:hAnsi="Times New Roman" w:eastAsia="Times New Roman" w:cs="Times New Roman"/>
      <w:sz w:val="20"/>
      <w:lang w:val="uk-UA" w:eastAsia="en-US" w:bidi="en-US"/>
    </w:rPr>
  </w:style>
  <w:style w:type="character" w:styleId="936">
    <w:name w:val="Strong"/>
    <w:basedOn w:val="743"/>
    <w:pPr>
      <w:pBdr/>
      <w:spacing/>
      <w:ind/>
    </w:pPr>
    <w:rPr>
      <w:b/>
      <w:bCs/>
    </w:rPr>
  </w:style>
  <w:style w:type="paragraph" w:styleId="937">
    <w:name w:val="Header"/>
    <w:basedOn w:val="742"/>
    <w:link w:val="93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8" w:customStyle="1">
    <w:name w:val="Верхній колонтитул Знак"/>
    <w:basedOn w:val="743"/>
    <w:link w:val="937"/>
    <w:uiPriority w:val="99"/>
    <w:pPr>
      <w:pBdr/>
      <w:spacing/>
      <w:ind/>
    </w:pPr>
  </w:style>
  <w:style w:type="paragraph" w:styleId="939">
    <w:name w:val="Footer"/>
    <w:basedOn w:val="742"/>
    <w:link w:val="94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40" w:customStyle="1">
    <w:name w:val="Нижній колонтитул Знак"/>
    <w:basedOn w:val="743"/>
    <w:link w:val="93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Eco_1</dc:creator>
  <cp:keywords/>
  <dc:description/>
  <cp:lastModifiedBy>СТАЛЬНИЧЕНКО Юрій Валерійович</cp:lastModifiedBy>
  <cp:revision>44</cp:revision>
  <dcterms:created xsi:type="dcterms:W3CDTF">2021-11-04T09:31:00Z</dcterms:created>
  <dcterms:modified xsi:type="dcterms:W3CDTF">2024-12-22T12:46:26Z</dcterms:modified>
</cp:coreProperties>
</file>