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0"/>
          <w:tab w:val="left" w:leader="none" w:pos="567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ar-SA"/>
        </w:rPr>
        <w:tab/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lang w:val="uk-UA"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left="566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ішення 56 сесії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ради 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4253"/>
          <w:tab w:val="left" w:leader="none" w:pos="4395"/>
        </w:tabs>
        <w:spacing w:after="0" w:line="240" w:lineRule="auto"/>
        <w:ind w:right="1" w:left="5669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 грудня 202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732</w:t>
      </w:r>
      <w:r/>
    </w:p>
    <w:p>
      <w:pPr>
        <w:pBdr/>
        <w:tabs>
          <w:tab w:val="left" w:leader="none" w:pos="5670"/>
        </w:tabs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val="uk-UA"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6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b/>
          <w:sz w:val="36"/>
          <w:szCs w:val="20"/>
          <w:lang w:val="uk-UA" w:eastAsia="ar-SA"/>
        </w:rPr>
        <w:t xml:space="preserve">ПРОГРАМА</w:t>
      </w:r>
      <w:r>
        <w:rPr>
          <w:rFonts w:ascii="Times New Roman" w:hAnsi="Times New Roman" w:eastAsia="Times New Roman" w:cs="Times New Roman"/>
          <w:b/>
          <w:sz w:val="36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b/>
          <w:sz w:val="36"/>
          <w:szCs w:val="20"/>
          <w:lang w:val="uk-UA"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36"/>
          <w:szCs w:val="20"/>
          <w:lang w:val="uk-UA" w:eastAsia="ar-S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36"/>
          <w:szCs w:val="20"/>
          <w:lang w:val="uk-UA" w:eastAsia="ar-SA"/>
        </w:rPr>
      </w:r>
      <w:r>
        <w:rPr>
          <w:rFonts w:ascii="Times New Roman" w:hAnsi="Times New Roman" w:eastAsia="Times New Roman" w:cs="Times New Roman"/>
          <w:sz w:val="36"/>
          <w:szCs w:val="20"/>
          <w:lang w:val="uk-UA" w:eastAsia="ar-SA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розроблення (оновлення) містобудівно</w:t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ї документації</w:t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 Менської міської територіальної громади </w:t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на 2025-2027 роки</w:t>
      </w:r>
      <w:r>
        <w:rPr>
          <w:rFonts w:ascii="Times New Roman" w:hAnsi="Times New Roman" w:eastAsia="Times New Roman" w:cs="Times New Roman"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м. </w:t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Мена</w:t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sectPr>
          <w:headerReference w:type="default" r:id="rId9"/>
          <w:footerReference w:type="default" r:id="rId12"/>
          <w:footnotePr/>
          <w:endnotePr/>
          <w:type w:val="nextPage"/>
          <w:pgSz w:h="16838" w:orient="portrait" w:w="11906"/>
          <w:pgMar w:top="1134" w:right="567" w:bottom="1134" w:left="1701" w:header="567" w:footer="567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  <w:t xml:space="preserve">2024 рік</w:t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  <w:r>
        <w:rPr>
          <w:rFonts w:ascii="Times New Roman" w:hAnsi="Times New Roman" w:eastAsia="Times New Roman" w:cs="Times New Roman"/>
          <w:bCs/>
          <w:sz w:val="32"/>
          <w:szCs w:val="32"/>
          <w:lang w:val="uk-UA" w:eastAsia="ru-RU"/>
        </w:rPr>
      </w:r>
    </w:p>
    <w:p>
      <w:pPr>
        <w:pBdr/>
        <w:spacing w:after="0" w:line="240" w:lineRule="auto"/>
        <w:ind w:right="-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Паспорт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3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Вступ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4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Загальні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5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Мета та завдання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7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Обґрунтування необхідності та важливість реалізації Програми    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Сучасний стан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8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Основні заходи виконання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Фінансове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Координація та контроль за ходом виконання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Очікувана ефективність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Додаток 1 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Додаток 2 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17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>
          <w:footnotePr/>
          <w:endnotePr/>
          <w:type w:val="nextPage"/>
          <w:pgSz w:h="16838" w:orient="portrait" w:w="11906"/>
          <w:pgMar w:top="1134" w:right="850" w:bottom="1134" w:left="1701" w:header="567" w:footer="270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Паспорт Програми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973"/>
        <w:tblW w:w="9889" w:type="dxa"/>
        <w:tblBorders/>
        <w:tblLook w:val="04A0" w:firstRow="1" w:lastRow="0" w:firstColumn="1" w:lastColumn="0" w:noHBand="0" w:noVBand="1"/>
      </w:tblPr>
      <w:tblGrid>
        <w:gridCol w:w="3794"/>
        <w:gridCol w:w="6095"/>
      </w:tblGrid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розроблення (оновлення) містобудівної документації  Менсько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75"/>
              </w:tabs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архітектури та містобудування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Співрозробник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tabs>
                <w:tab w:val="left" w:leader="none" w:pos="175"/>
              </w:tabs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архітектури та містобудування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місцевих бюджетів, які приймають участь у виконанні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залучені кошти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інші джерела не заборонені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0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28700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2025 р. - 12300,00 тис. грн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                                  2026 р. - 8750,00тис. грн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  <w:t xml:space="preserve">                                  2027 р. - 7650,00 тис. грн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  <w:sectPr>
          <w:footnotePr/>
          <w:endnotePr/>
          <w:type w:val="nextPage"/>
          <w:pgSz w:h="16838" w:orient="portrait" w:w="11906"/>
          <w:pgMar w:top="1134" w:right="566" w:bottom="1134" w:left="1701" w:header="567" w:footer="708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розроблення (оновлення) містобудівної документації Менської міської ради на 2022-2024 роки (далі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Програма) передбачає виконання вимог Законів України «Про основи містобудування», «Про регулювання містобудівної діяльності», «Про стратегічну екологічну оцінку», «Про внесення змін до деяких законодавчих актів України щодо планування використання земель».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регулювання містобудівної діяльності» програми розвитку регіонів та населених пунктів, програми господарського, соціального та культурного розвитку повинні узгоджуватися з містобудівною документацією відповідного рівня.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внесення змін до деяких законодавчих актів України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планування використання земель» запроваджує інтеграцію землевпорядної та містобудівної документації та передбачає виготовлення громадами Комплексного плану просторового розвитку території територіальної громади. Даний Закон набрав чинність з 24.07.2021.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спрямована на забезпечення умов сталого містобудівного, економічного розвитку населених пунктів Менської міської територіальної громади та вирішення проблемних питань стимулювання, розвитку, раціонального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територій, визначення черговості і пріоритетної забудови, створення належних умов для життєзабезпечення, уточнення планувальної структури та просторової композиції забудови територій, пріоритетних та допустимих видів використання і забудови територій.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Програму складено на підставі та відповідно до Законів України: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регулювання містобудівної діяльності»,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Генеральну схему планування території України»,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основи містобудування»,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архітектурну діяльність»,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стратегічну екологічну оцінку»,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деяких законодавчих актів України щодо планування використання земель»,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ДБН В.1.2-4:2019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«Інженерно-технічні заходи цивіль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ДБН Б.1.1-5:2007 «Склад, зміст, порядок розроблення, погодження та затвердження, розділу інженерно-технічних заходів цивільного захисту (цивільної оборони) у містобудівній документації».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  <w:sectPr>
          <w:footnotePr/>
          <w:endnotePr/>
          <w:type w:val="nextPage"/>
          <w:pgSz w:h="16838" w:orient="portrait" w:w="11906"/>
          <w:pgMar w:top="1134" w:right="566" w:bottom="1134" w:left="1701" w:header="567" w:footer="708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положення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цій Програмі наведені терміни вживаються у такому значенні: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7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містобудівна документація – затверджені текстові та графічні матеріали з питань регулювання планування, забудови та іншого використання територій;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7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план населеного пункту – містобудівна документація, що визначає принципові вирішення розвитку, планування, забудови та іншого використання території населеного пункту;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7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схема планування території – містобудівна документація, що визначає планувальну організацію та розвиток території;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7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зонування території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зонінг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містобудівна документація, що визначає умови та обмеження використання території для містобудівних потреб у межах визначених зон;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7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план просторового розвитку території територіальної громади – одночасно містобудівна документація на місцевому рівні та документація із землеустрою;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7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стратегічна екологічна оцінка (СЕО) – це процедура визначення, опису та аналізу наслідків для довкілля та здоров’я населення від реалізації державних програм планування та розвитку.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2016 році був затверджений Генеральний план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та план зонування. На 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час триває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встановлення меж населеного пункту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план населеного пункту – основний вид містобудівної документації на місцевому рівні, призначеної для обґрунтування довгострокової стратегії планування та забудови території.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план є комплексним планувальним документом, обов’язковим для виконання. Його положення базується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аналізу й прогнозуванні демографічних, соціально-економічних, природно-географічних, інженерно-технічних, екологічних, санітарно-гігієнічних, історико-культурних факторів і орієнтовані виключно на вирішення питань планування території населеного пункту.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генеральн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плану вирішують основні, принципові питання з планування територій і не можуть бути використані замість спеціальних проектів, схем та програм розвитку галузей економіки, охорони навколишнього середовища та здоров’я населення, пам’яток історії і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інженерного захисту і підготовки території, розвитку систем транспорту, безпеки та організації дорожнього руху, інженерного обладнання, тощо. При складанні зазначеної документації повинні враховуватися пропозиції відповідних розділів генерального плану.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Строк дії генеральних планів населених пунктів не обмежується. Зміни до генеральних планів населених пунктів можуть вноситися не частіше, ніж один раз на п’ять років.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плану зонування території допускається за умови їх відповідності генеральному плану населеного пункту.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у межах населеного пункту уточнює положення генерального плану населеного пункту та визначає планувальну організацію і розвиток частини території.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розробляється з метою визначення планувальної організації і функціонал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ьного призначення, просторової композиції і параметрів забудови та ландшафтної організації кварталу, мікрорайону, іншої частини території населеного пункту, призначених для комплексної забудови чи реконструкції, та підлягає стратегічній екологічній оцінці.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детального плану території допускається за умови їх відповідності генеральному плану населеного пункту та плану зонування території.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вимогами Закону України «Про регулювання містобудівної діяльності» містобудівна документація розробляється на паперових і електронних носіях на оновленій картографічній основі в цифровій формі як набори профільних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геопросторових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даних у державній геодезичні й системі координат УСК-2000 і єдиній системі класифікації та кодування об’єктів будівництва для формування баз даних містобудівного кадастру з урахуванням даних державного земельного кадастру.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території на місцевому рівні забезпечується відповідними місцевими радами та їх виконавчими органами відповідно до повноважень, визначених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законом, і полягає у розробленні та затвердженні схем планування територій на місцевому рівні та іншої містобудівної документації, регулюванні використання їх територій, ухваленні та реалізації відповідних рішень про дотримання містобудівної документації.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 просторового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- комплексний план)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одночасно містобудівна документація на місцевому рівні та документація із землеустрою,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 планувальну організацію, функціональне призначення території, основні принципи і напрями формування єдиної системи громадського обслуговування населення, дорожньої мере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жі, інженерно-транспортної інфраструктури, інженерної підготовки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Розробляється комплексний план на всю територію територіальної громади та передбачає узгоджене прийняття рішення щодо цілісного (комплексного) просторового розвитку населених пунктів як єдиної системи розселення і території за їхніми межами.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комплексний план з обов’язковим врахуванням державних, громадських та приватних інтересів.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стратегічну екологічну оцінку» передбачає обов’язкове проведення стратегічної екологічної оцінки. СЕО проводять під час розроблення відповідного документа державного планування до його затвердження.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Програми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Програми є своєчасне забезпечення населених пунктів Менської міської територіальної громади картографічною основою </w:t>
      </w:r>
      <w:r>
        <w:rPr>
          <w:rFonts w:ascii="Times New Roman" w:hAnsi="Times New Roman"/>
          <w:sz w:val="28"/>
          <w:szCs w:val="28"/>
          <w:lang w:val="uk-UA"/>
        </w:rPr>
        <w:t xml:space="preserve">як набором профільних </w:t>
      </w:r>
      <w:r>
        <w:rPr>
          <w:rFonts w:ascii="Times New Roman" w:hAnsi="Times New Roman"/>
          <w:sz w:val="28"/>
          <w:szCs w:val="28"/>
          <w:lang w:val="uk-UA"/>
        </w:rPr>
        <w:t xml:space="preserve">геопросторових</w:t>
      </w:r>
      <w:r>
        <w:rPr>
          <w:rFonts w:ascii="Times New Roman" w:hAnsi="Times New Roman"/>
          <w:sz w:val="28"/>
          <w:szCs w:val="28"/>
          <w:lang w:val="uk-UA"/>
        </w:rPr>
        <w:t xml:space="preserve">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державній геодезичній системі координат УСК-2000 та містобудівною документацією сучасного рівня для забезпечення сталого соціально-економічного розвитку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спрямована на реалізацію основних напрямів державної та регіональної політики в галузі містобудівної діяльності, гармонійного узгодження інтересів та ефективної взаємодії влади, бізнесу і громадськості.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є: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та актуалізація картографічної основи в цифровій формі як просторово орієнтована інформація в державній системі координат УСК-2000 на паперових та електронних носіях;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робіт із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плану просторового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територіальної громади;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меж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урахуванням перспективних напрямів цільового використання територій;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 державних, громадських і приватних інтересів під час планування, забудови та іншого використання територій;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розподілу земель за цільовим призначенням та використання територій для містобудівних потреб;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раціонального розселення і визначення напрямів сталого розвитку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населених пункті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територіальної громади;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і раціональне розташування територій житлової та громадської забудови, промислових, рекреаційних, природоохоронних, оздоровчих, історико-культурних та інших територій і об’єктів;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та встановлення режиму раціонального використання земель та забудови території, на яких передбачена перспективна містобудівна діяльність;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визначення, вилучення (викуп) і надання земельних ділянок для містобудівних потреб на основі містобудівної документації в межах, визначених законом;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охорона довкілля та раціональне використання природних ресурсів;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регулювання забудови, проведення благоустрою, реконструкція площ та земель загального користування населених пунктів та інших територій.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містобудівної документації використовуються як вихідні дані при розробленні іншої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ланувальної документації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забудови, місцевих правил використання і забудови території населеного пункту, інвестиційних програм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програм соціально-економічного розвитку, схем визначення земель населених пунктів для приватизації, планів земельно-господарського устрою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еленого пункту, спеціальних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схем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 охорони навколишнього природного середовища та здоров’я населе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ння, пам’яток історії і культури, інженерного захисту і підготовки території, комплексних схем розвитку систем інженерного обладнання і галузей міського господарства, виконанні грошової оцінки земель, створенні містобудівного та земельного кадастрів, тощо.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Тобто, відсутність містобудівної документації не дозволяє належним чином здійснювати містобудівну діяльність на території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необхідності та важливість реалізації Програми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ролі містобудівної діяльності є питанням актуальним і першочерговим для розвитку Менської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іської територіальної громади.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Комплексного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просторового розвитку Менської міської територіальної громади створить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умови для залучення інвестиційних коштів.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завдань, передбачених Програмою, дозволить досягти сталого розвитку з планування території, зокрема: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проблему розроблення (оновлення) містобудівної документації;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територію населених пунктів планово-висотною основою та картографічними матеріалами на базі національної системи відліку та державної системи координат;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оновити містобудівну документацію із застосуванням сучасних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геоінформаційних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технологій, що дозволить сформувати бази даних для роботи муніципальних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геоінформаційних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систем, що впроваджуються у системі управління територією;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удосконалити механізм державного регулювання процесу оновлення містобудівної документації;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поліпшити роботу щодо збереження, охорони та використання пам’яток архітектури та містобудування, а також районів історичної забудови;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поліпшити інвестиційний клімат у населених пунктах та забезпечити їх збалансований соціально-економічний розвиток;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для створення рекреаційних, історико-культурних територій, об’єктів скверів та окремих зелених насаджень;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забудова чи реконструкція території;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розвиток інженерно-транспортної інфраструктури.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2"/>
        </w:numPr>
        <w:pBdr/>
        <w:tabs>
          <w:tab w:val="left" w:leader="none" w:pos="993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допомогти отримати субвенцію з державного бюджету місцевим бюджетам на розроблення комплексного плану просторового розвитку територій територіальної громади відповідно до постанови Кабінету Міністрів України від 28 липня 2021 року №853.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стан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Менська міська територіальна громада базується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району. Загальна площа міської територіальної громади складає 1026,1 км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 складу громади входить 39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елених пунктів, одне місто, 4 селища та 34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Загальна кількість мешканців станом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01.10.2024 складає 24770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наявності містобудівної документації населених пунктів викладений в додатку 1 до Програми.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наявність містобудівної документації генеральних планів населених пунктів, які увійшли до Менської міської територіальної громади, дані Таблиці 1 дають підстави для висновку про необхідність замовлення містобудівн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документації населених пунктів Менської міської територіальної громади, яка не відповідає сучасним вимогам. При нормативному розрахунковому терміні дії містобудівної документації (15-20 років) більшість розроблена понад 20 років тому потребує оновлення.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план призначений для перспективного планування та функціонального зонування всієї території територіальної громади, встановлення обмежень на використання територій навколо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режимоутворюючих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об’єктів, забезпечення центрального населеного пункту громади генеральним планом, а всіх інших – планувальними рішеннями, які сприятимуть їхньому сталому розвитку.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комплексний план включає в себе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планувальні рішення окремих детальних планів територій, що дозволить сформувати та резервувати земельні ділянки для розміще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об’єктів, які реалізують державні, регіональні і громадські інтереси. Завдяки цьому, одразу після затвердження комплексного плану з’явиться можливість надавати такі ділянки, а також містобудівні умови та обмеження для проектування відповідних об’єктів.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заходи виконання Програми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4"/>
        <w:numPr>
          <w:ilvl w:val="0"/>
          <w:numId w:val="3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топографо-геодезичних робіт з виготовленням топографічної зйомки 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вимогами Закону України «Про регулювання містобудівної діяльності» містобудівна документація повинна розроблятися на паперових і електронних носіях на оновленій картографічній основі в цифровій формі як набори профільних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геопросторових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даних у державній геодезичній системі координат УСК-2000 і єдиній системі класифікації та кодування об’єктів будівництва для формування баз даних містобудівного кадастр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у. В цьому напрямку Програмою передбачені заходи щодо розроблення картографічних матеріалів у відповідність до вимог цього Закону України та діючих норм і правил, створення єдиної цифрової топографічної основи території для ведення містобудівного кадастру.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Тому,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комплексного плану просторового розвитку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оновити картографічні матеріали, а саме: виконати топогра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фо-геодезичні роботи з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коригування топографічної зйомки в масштабі 1:2000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населених пунктів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1:10000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всю територію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3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комплексного плану просторового розвитку території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план передбачає узгодження прийняття рішень щодо цілісного (комплексного) просторового розвитку населених пунктів як єдиної системи розселення і території за їх межами.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план розро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бляється та затверджується з метою забезпечення сталого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3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детальних планів 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територій – є містобудівною документацією з планування території на місцевому рівні та розробляється для всієї території населеного пункту або її частини на основі затвердженого генерального плану міста.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Детальні плани розробляються з метою: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деталізації та уточнення у більш крупному масштабі положень генерального плану міста;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принципів планувально-просторової організації забудови;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червоних ліній та ліній регулювання забудови;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виявлення та уточнення територіальних ресурсів для всіх видів містобудівного використання;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1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потреб утворення нових земельних ділянок і визначення їх цільового призначення, зміни цільового призначення існуючих земельних ділянок, їх перепланування, а також зміни функціонального використання споруд на територіях реконструкції забудови.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3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стратегічно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екологічної оцінки комплексного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СЄО детальних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планів та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плексного плану просторового розвитку територій Менської міської територіальної громади поліпшить екологічний стан навколишнього природного середовища та умов життєдіяльності населення, забезпечення сталого розвитку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numPr>
          <w:ilvl w:val="0"/>
          <w:numId w:val="3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оцінки впливу на довкілля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 впливу на довкілля (ОВД) призначена для виявлення характеру, інтенсивності і ступеня небезпеки впливу будь-якого виду планової господарської діяльності на стан довкілля і здоров’я населення.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Фінансове забезпечення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заходів Програми з розроблення (оновлення) містобуді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вної документації Менської міської територіальної громади здійснюватиметься за рахунок коштів державного, обласного та місцевого бюджетів, а також може здійснюватися за рахунок коштів інших джерел фінансування, не заборонених чинним законодавством України.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Обсяги фінансування Програми на відповідний бюджетний період визначаються при формуванні обласного та місцевих бюджетів з урахуванням їх реальних можливостей.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Актуальна вартість проєктно-вишукувальних робіт у кожному конкретному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ипадку буде встановлюватися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установою та замовником із урахуванням усіх особливостей та факторів, обумовлених станом розвитку, потреби в територіях населеного пункту або території на час виготовлення містобудівної документації.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обсяг фінансування Програми можуть вноситися зміни протягом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Коригування Програми щодо фінансового забезпечення її реалізації проводиться згідно з остаточним рахунком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затвердженої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ктно-кошторисної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кошторис робіт з розроблення містобудівної документації та топографічної основи генеральних планів наведено в додатку 2 до Програми.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Координація та контроль за ходом виконання Програми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Координацію дій мі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 виконавцями Програми, визначення порядку взаємного інформування (із зазначенням конкретних строків) здійснює Менська міська рада. Орган виконавчої влади забезпечує надання відповідних вихідних даних, необхідних для розроблення містобудівної документації.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організації контролю та моніторингу виконання Програми виконавчий комітет Менської міської ради готує узагальнену інформацію та звітується на сесії міської ради про хід виконання її завдань і прогнозованих даних.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Очікувана ефективність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реалізації Програми буде створена 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пографо-геодезична основа території Менської міської територіальної громади та виготовлена придатна для користування містобудівна документація, які забезпечуватимуть збалансований розвиток, забудову та інше використання територій кожного населеного пункту.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 від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иконання Програми – підвищення соціально-економічної ефективності населених пунктів, поліпшення екологічних параметрів і збереження середовища, вдосконалення архітектурно-естетичних характеристик простору життєдіяльності населення, розроблення містобудівно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передбачається налагодити дієвий контроль за дотриманням чинних законодавчих і нормативних актів у сфері містобудування, регулювання забудови та використанням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територій населених пунктів, врахування державних, громадських та приватних інтересів під час забудови територій на місцевому рівні, забезпечення доступної та повної інформації про наявність на території адміністративно-територіальної одиниці земель держа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вної та комунальної власності, які не надані у користування та можуть бути використані під забудову, а також інформацію щодо містобудівних умов та обмежень забудови земельних ділянок, залучення інвестицій у розвиток Менської міської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709" w:left="0"/>
        <w:contextualSpacing w:val="fals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709" w:left="0"/>
        <w:contextualSpacing w:val="fals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архітектури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  <w:tab w:val="left" w:leader="none" w:pos="11340"/>
        </w:tabs>
        <w:spacing w:after="0" w:line="240" w:lineRule="auto"/>
        <w:ind w:left="0"/>
        <w:contextualSpacing w:val="fals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містобудування Менської міської ради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ЮЩЕНКО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Андрій ЮЩЕНКО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  <w:sectPr>
          <w:footnotePr/>
          <w:endnotePr/>
          <w:type w:val="nextPage"/>
          <w:pgSz w:h="16838" w:orient="portrait" w:w="11906"/>
          <w:pgMar w:top="850" w:right="567" w:bottom="1134" w:left="1701" w:header="567" w:footer="708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  <w:tab w:val="left" w:leader="none" w:pos="11340"/>
        </w:tabs>
        <w:spacing w:after="0" w:line="240" w:lineRule="auto"/>
        <w:ind w:left="1048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  <w:tab w:val="left" w:leader="none" w:pos="11340"/>
        </w:tabs>
        <w:spacing w:after="0" w:line="240" w:lineRule="auto"/>
        <w:ind w:left="1048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розроблення (оновлення) містобудівної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територіальної громади на 2025-2027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містобудівною документацією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973"/>
        <w:tblW w:w="15242" w:type="dxa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275"/>
        <w:gridCol w:w="1560"/>
        <w:gridCol w:w="1274"/>
        <w:gridCol w:w="4252"/>
        <w:gridCol w:w="1244"/>
      </w:tblGrid>
      <w:tr>
        <w:trPr/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п/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3828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Назва населеного пункту / території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Площа, га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Площа проектна, га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Вид документу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1274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Рік розроблення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Розробник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  <w:tc>
          <w:tcPr>
            <w:tcBorders/>
            <w:tcW w:w="1244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  <w:tab w:val="left" w:leader="none" w:pos="1593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Примітка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8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4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44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1568,40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Укргеоінформ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925"/>
        </w:trPr>
        <w:tc>
          <w:tcPr>
            <w:tcBorders>
              <w:bottom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1568,40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1981,00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 Український державний науково-дослідний інститут проектування міст «Діпромісто» імені Ю.М. Білоконя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804"/>
        </w:trPr>
        <w:tc>
          <w:tcPr>
            <w:tcBorders>
              <w:top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1568,40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1981,00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зонування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 Український державний науково-дослідний інститут проектування міст «Діпромісто» імені Ю.М. Білоконя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у межах населеного пункту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 для улаштування підприємства торгівлі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«Архітектурно-будівельна майстерня Травки З.С.»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частини земельної діяльної ділянки №4 в частині вул. Лісова по вул. Колгоспна 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«Майстерня архітектора Травки В.А.»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672"/>
        </w:trPr>
        <w:tc>
          <w:tcPr>
            <w:tcBorders>
              <w:bottom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вул. Коцюбинського 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8,6691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Жаннет-Полісянка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924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  <w:tab w:val="right" w:leader="none" w:pos="3612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за межами населеного пункту для реконструкції очисних споруд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 Майстерня архітектора Травки В.А.»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4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</w:tbl>
    <w:tbl>
      <w:tblPr>
        <w:tblW w:w="15222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834"/>
        <w:gridCol w:w="1128"/>
        <w:gridCol w:w="1278"/>
        <w:gridCol w:w="1560"/>
        <w:gridCol w:w="1274"/>
        <w:gridCol w:w="4252"/>
        <w:gridCol w:w="1218"/>
      </w:tblGrid>
      <w:tr>
        <w:trPr>
          <w:trHeight w:val="68"/>
        </w:trPr>
        <w:tc>
          <w:tcPr>
            <w:shd w:val="clear" w:color="auto" w:fill="auto"/>
            <w:tcBorders>
              <w:top w:val="none" w:color="000000" w:sz="4" w:space="0"/>
            </w:tcBorders>
            <w:tcW w:w="6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83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вул. Шевченка 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Чернігівської області для розміщення Менського окружного суду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0,71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ПП «Служба замовника»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lang w:val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2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</w:tbl>
    <w:tbl>
      <w:tblPr>
        <w:tblStyle w:val="973"/>
        <w:tblW w:w="15283" w:type="dxa"/>
        <w:tblInd w:w="-7" w:type="dxa"/>
        <w:tblBorders/>
        <w:tblLayout w:type="fixed"/>
        <w:tblLook w:val="04A0" w:firstRow="1" w:lastRow="0" w:firstColumn="1" w:lastColumn="0" w:noHBand="0" w:noVBand="1"/>
      </w:tblPr>
      <w:tblGrid>
        <w:gridCol w:w="681"/>
        <w:gridCol w:w="3824"/>
        <w:gridCol w:w="1133"/>
        <w:gridCol w:w="1276"/>
        <w:gridCol w:w="1560"/>
        <w:gridCol w:w="1279"/>
        <w:gridCol w:w="4252"/>
        <w:gridCol w:w="1276"/>
        <w:gridCol w:w="3"/>
      </w:tblGrid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 вул. Корольова, №7 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області, під будівництво багатоповерхового житлового будинку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0,16880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«Архітектурно-будівельна майстерня Травки З.С.»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Гастелло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4а та 3 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 для будівництва елеватору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8,1446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«Майстерня архітектора Травки В.А.»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розміщення культової будівлі 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 Корольова №6-б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«Майстерня архітектора Травки В.А.»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розміщення індустріального парку «Менський» за межами міста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Менської міської ради, Менського району,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62,00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«Майстерня архітектора Травки В.А.»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Макошине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636,60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Саєнко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Миколайович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533,20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регіональна торгово-промислова палата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545,907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627,907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«Майстерня архітектора Травки В. 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Дерепівка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17,60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регіональна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торгово-промислова палата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17,162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25,562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фірма «Майстерня архітектора Травки В.А.»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528"/>
        </w:trPr>
        <w:tc>
          <w:tcPr>
            <w:tcBorders>
              <w:bottom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Величківка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296,00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Саєнко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Миколайович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1140"/>
        </w:trPr>
        <w:tc>
          <w:tcPr>
            <w:tcBorders>
              <w:top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земельної ділянки з кадастровим номером 7423081800:03:000:0881, яка знаходиться в довгостроковій оренді ПП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Петрушанко-Агро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та розташована за межами 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Величківка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Менської міської територіальної громади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1,4811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«Архітектурно-будівельна майстерня Травки З.С.»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Волосківці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326,20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«Висоцька Ольга Євгенівна»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Дягова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445,20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Москаленко Владислав Олександрович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Киселівка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441,70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«Висоцька Ольга Євгенівна»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Ліски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207,60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«Висоцька Ольга Євгенівна»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Максаки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70,90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БПП «ПОЗИТИВ»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Осьмаки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274,00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«Висоцька Ольга Євгенівна»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Стольне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624,10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Саєнко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Миколайович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вул. Молодіжній в с. Стольне Менського району Чернігівської області для будівництва амбулаторії загальної практики сімейної медицини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«ЕТАЛОН-БУДПРОЕКТ»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Феськівка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597,80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bottom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«Висоцька Ольга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Євгенівна»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6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Покровське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565,30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регіональна торгово-промислова палата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земельної ділянки для передачі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аренду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для будівництва та обслуговування споруд електрозв’язку – вежі ТОВ «УКРТАУЕР» в межах населеного пункту с. Покровське Менської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Овдієнко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562,71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618,91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«Архітектурно-будівельна майстерня Травки З.С.»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238,30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Саєнко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Бірківка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394,00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Городище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772,70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850,00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Загорівка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Куковичі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360,70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Нові Броди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171,80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Садове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53,90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449,50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Синявка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777,70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830,00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Слобідка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245,30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305,00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Ушня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347,20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370,00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топозйомка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Веселе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32,20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Вільне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31,80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Дібрівка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Дмитрівка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49,70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Комарівка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42,10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Куковицьке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Лазарівка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Луки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Майське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149,50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Овчарівка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Остапівка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56,00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Прогрес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42,50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Чорногорці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824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- 39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918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1278" w:type="dxa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</w:tbl>
    <w:p>
      <w:p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архітектури 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 w:cs="Times New Roman"/>
          <w:lang w:val="uk-UA"/>
        </w:rPr>
        <w:sectPr>
          <w:headerReference w:type="default" r:id="rId10"/>
          <w:footnotePr/>
          <w:endnotePr/>
          <w:type w:val="nextPage"/>
          <w:pgSz w:h="11906" w:orient="landscape" w:w="16838"/>
          <w:pgMar w:top="1701" w:right="1134" w:bottom="567" w:left="1134" w:header="567" w:footer="709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містобудування Менської міської ради                                                 Андрій ЮЩЕНКО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Style w:val="974"/>
        <w:pBdr/>
        <w:tabs>
          <w:tab w:val="left" w:leader="none" w:pos="851"/>
          <w:tab w:val="left" w:leader="none" w:pos="11340"/>
        </w:tabs>
        <w:spacing w:after="0" w:line="240" w:lineRule="auto"/>
        <w:ind w:left="96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9638"/>
        <w:contextualSpacing w:val="fals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розроблення (оновлення) містобудівно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11340"/>
        <w:contextualSpacing w:val="false"/>
        <w:rPr>
          <w:rFonts w:ascii="Times New Roman" w:hAnsi="Times New Roman" w:cs="Times New Roman"/>
          <w:sz w:val="16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28"/>
          <w:lang w:val="uk-UA"/>
        </w:rPr>
      </w:r>
      <w:r>
        <w:rPr>
          <w:rFonts w:ascii="Times New Roman" w:hAnsi="Times New Roman" w:cs="Times New Roman"/>
          <w:sz w:val="16"/>
          <w:szCs w:val="28"/>
          <w:lang w:val="uk-UA"/>
        </w:rPr>
      </w:r>
      <w:r>
        <w:rPr>
          <w:rFonts w:ascii="Times New Roman" w:hAnsi="Times New Roman" w:cs="Times New Roman"/>
          <w:sz w:val="16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Потреба у фінансуванні та черговість заходів передбачених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973"/>
        <w:tblpPr w:horzAnchor="text" w:tblpX="-34" w:vertAnchor="text" w:tblpY="1" w:leftFromText="180" w:topFromText="0" w:rightFromText="180" w:bottomFromText="0"/>
        <w:tblW w:w="15276" w:type="dxa"/>
        <w:tblBorders/>
        <w:tblLayout w:type="fixed"/>
        <w:tblLook w:val="04A0" w:firstRow="1" w:lastRow="0" w:firstColumn="1" w:lastColumn="0" w:noHBand="0" w:noVBand="1"/>
      </w:tblPr>
      <w:tblGrid>
        <w:gridCol w:w="597"/>
        <w:gridCol w:w="9183"/>
        <w:gridCol w:w="1417"/>
        <w:gridCol w:w="1417"/>
        <w:gridCol w:w="1417"/>
        <w:gridCol w:w="1245"/>
      </w:tblGrid>
      <w:tr>
        <w:trPr/>
        <w:tc>
          <w:tcPr>
            <w:tcBorders/>
            <w:tcW w:w="59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/п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9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Змі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заходу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4"/>
            <w:tcBorders/>
            <w:tcW w:w="5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Фінансове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забезпечення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тис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.г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20"/>
        </w:trPr>
        <w:tc>
          <w:tcPr>
            <w:tcBorders/>
            <w:tcW w:w="597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183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Орієнтовна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вартість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3"/>
            <w:tcBorders/>
            <w:tcW w:w="407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ік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виконання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83"/>
        </w:trPr>
        <w:tc>
          <w:tcPr>
            <w:tcBorders/>
            <w:tcW w:w="597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9183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74"/>
              <w:pBdr/>
              <w:tabs>
                <w:tab w:val="left" w:leader="none" w:pos="851"/>
              </w:tabs>
              <w:spacing/>
              <w:ind w:left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lang w:val="uk-UA"/>
              </w:rPr>
              <w:t xml:space="preserve">5</w:t>
            </w:r>
            <w:r>
              <w:rPr>
                <w:sz w:val="18"/>
                <w:lang w:val="uk-UA"/>
              </w:rPr>
            </w:r>
            <w:r>
              <w:rPr>
                <w:sz w:val="1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lang w:val="uk-UA"/>
              </w:rPr>
              <w:t xml:space="preserve">6</w:t>
            </w:r>
            <w:r>
              <w:rPr>
                <w:sz w:val="18"/>
                <w:lang w:val="uk-UA"/>
              </w:rPr>
            </w:r>
            <w:r>
              <w:rPr>
                <w:sz w:val="18"/>
                <w:lang w:val="uk-UA"/>
              </w:rPr>
            </w:r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sz w:val="1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lang w:val="uk-UA"/>
              </w:rPr>
              <w:t xml:space="preserve">7</w:t>
            </w:r>
            <w:r>
              <w:rPr>
                <w:sz w:val="18"/>
                <w:lang w:val="uk-UA"/>
              </w:rPr>
            </w:r>
            <w:r>
              <w:rPr>
                <w:sz w:val="18"/>
                <w:lang w:val="uk-UA"/>
              </w:rPr>
            </w:r>
          </w:p>
        </w:tc>
      </w:tr>
      <w:tr>
        <w:trPr/>
        <w:tc>
          <w:tcPr>
            <w:tcBorders/>
            <w:tcW w:w="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/>
            <w:tcW w:w="9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Створення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цифрової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картографічної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основи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державній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геодезичній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системі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координат УСК-2000 для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розроблення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комплексного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плану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просторового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розвитку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територіальної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громади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3100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,00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0 </w:t>
            </w:r>
            <w:r/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—— </w:t>
            </w:r>
            <w:r/>
          </w:p>
        </w:tc>
      </w:tr>
      <w:tr>
        <w:trPr/>
        <w:tc>
          <w:tcPr>
            <w:tcBorders/>
            <w:tcW w:w="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/>
            <w:tcW w:w="9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Розроблення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комплексного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плану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просторового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розвитку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територіальної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громади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00,00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0,00</w:t>
            </w:r>
            <w:r/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00,00 </w:t>
            </w:r>
            <w:r/>
          </w:p>
        </w:tc>
      </w:tr>
      <w:tr>
        <w:trPr/>
        <w:tc>
          <w:tcPr>
            <w:tcBorders/>
            <w:tcW w:w="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9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експертизи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містобудівної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документації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комплексного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плану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просторового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розвитку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територіальної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громади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,00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—— 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0,00</w:t>
            </w:r>
            <w:r/>
          </w:p>
        </w:tc>
      </w:tr>
      <w:tr>
        <w:trPr/>
        <w:tc>
          <w:tcPr>
            <w:tcBorders/>
            <w:tcW w:w="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4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9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Розробка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детальних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планів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територій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00,00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00,00 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00,00</w:t>
            </w:r>
            <w:r/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00,00</w:t>
            </w:r>
            <w:r/>
          </w:p>
        </w:tc>
      </w:tr>
      <w:tr>
        <w:trPr/>
        <w:tc>
          <w:tcPr>
            <w:tcBorders/>
            <w:tcW w:w="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5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9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Витрати пов’язані з розробленням містобудівної документації (ОВД, СЕО та інше)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400,00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100,00 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150,00</w:t>
            </w:r>
            <w:r/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150,00</w:t>
            </w:r>
            <w:r/>
          </w:p>
        </w:tc>
      </w:tr>
      <w:tr>
        <w:trPr/>
        <w:tc>
          <w:tcPr>
            <w:tcBorders/>
            <w:tcW w:w="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/>
            <w:tcW w:w="91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Всього</w:t>
            </w:r>
            <w:r/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28700,0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12300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,00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8750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1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1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7650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,00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</w:tbl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74"/>
        <w:pBdr/>
        <w:tabs>
          <w:tab w:val="left" w:leader="none" w:pos="851"/>
        </w:tabs>
        <w:spacing w:after="0" w:line="240" w:lineRule="auto"/>
        <w:ind w:left="0"/>
        <w:contextualSpacing w:val="false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архітектури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974"/>
        <w:pBdr/>
        <w:tabs>
          <w:tab w:val="left" w:leader="none" w:pos="851"/>
          <w:tab w:val="left" w:leader="none" w:pos="11340"/>
        </w:tabs>
        <w:spacing w:after="0" w:line="240" w:lineRule="auto"/>
        <w:ind w:left="0"/>
        <w:contextualSpacing w:val="fals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містобудування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Андрій ЮЩЕНКО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11"/>
      <w:footnotePr/>
      <w:endnotePr/>
      <w:type w:val="nextPage"/>
      <w:pgSz w:h="11906" w:orient="landscape" w:w="16838"/>
      <w:pgMar w:top="1360" w:right="1106" w:bottom="709" w:left="1134" w:header="56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07886462"/>
      <w:docPartObj>
        <w:docPartGallery w:val="Page Numbers (Top of Page)"/>
        <w:docPartUnique w:val="true"/>
      </w:docPartObj>
      <w:rPr/>
    </w:sdtPr>
    <w:sdtContent>
      <w:p>
        <w:pPr>
          <w:pStyle w:val="969"/>
          <w:pBdr/>
          <w:tabs>
            <w:tab w:val="left" w:leader="none" w:pos="7088"/>
          </w:tabs>
          <w:spacing/>
          <w:ind w:firstLine="4677"/>
          <w:rPr>
            <w:i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rPr>
            <w:lang w:val="uk-UA"/>
          </w:rPr>
          <w:tab/>
        </w:r>
        <w:r>
          <w:rPr>
            <w:rFonts w:ascii="Times New Roman" w:hAnsi="Times New Roman" w:cs="Times New Roman"/>
            <w:i/>
            <w:lang w:val="uk-UA"/>
          </w:rPr>
          <w:t xml:space="preserve">Продовження додатка</w:t>
        </w:r>
        <w:r>
          <w:rPr>
            <w:i/>
          </w:rPr>
        </w:r>
        <w:r>
          <w:rPr>
            <w:i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1014336"/>
      <w:docPartObj>
        <w:docPartGallery w:val="Page Numbers (Top of Page)"/>
        <w:docPartUnique w:val="true"/>
      </w:docPartObj>
      <w:rPr/>
    </w:sdtPr>
    <w:sdtContent>
      <w:p>
        <w:pPr>
          <w:pStyle w:val="969"/>
          <w:pBdr/>
          <w:tabs>
            <w:tab w:val="left" w:leader="none" w:pos="7230"/>
            <w:tab w:val="left" w:leader="none" w:pos="11340"/>
          </w:tabs>
          <w:spacing/>
          <w:ind w:firstLine="4677" w:left="2553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>
          <w:rPr>
            <w:lang w:val="uk-UA"/>
          </w:rPr>
          <w:tab/>
        </w:r>
        <w:r>
          <w:rPr>
            <w:lang w:val="uk-UA"/>
          </w:rPr>
          <w:tab/>
        </w:r>
        <w:r>
          <w:rPr>
            <w:rFonts w:ascii="Times New Roman" w:hAnsi="Times New Roman" w:cs="Times New Roman"/>
            <w:lang w:val="uk-UA"/>
          </w:rPr>
          <w:t xml:space="preserve">Продовження додатка</w:t>
        </w:r>
        <w:r/>
      </w:p>
    </w:sdtContent>
  </w:sdt>
  <w:p>
    <w:pPr>
      <w:pStyle w:val="96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0075535"/>
      <w:docPartObj>
        <w:docPartGallery w:val="Page Numbers (Top of Page)"/>
        <w:docPartUnique w:val="true"/>
      </w:docPartObj>
      <w:rPr/>
    </w:sdtPr>
    <w:sdtContent>
      <w:p>
        <w:pPr>
          <w:pStyle w:val="969"/>
          <w:pBdr/>
          <w:tabs>
            <w:tab w:val="left" w:leader="none" w:pos="7230"/>
            <w:tab w:val="left" w:leader="none" w:pos="11340"/>
          </w:tabs>
          <w:spacing/>
          <w:ind w:firstLine="4677" w:left="2553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17</w:t>
        </w:r>
        <w:r>
          <w:fldChar w:fldCharType="end"/>
        </w:r>
        <w:r>
          <w:rPr>
            <w:lang w:val="uk-UA"/>
          </w:rPr>
          <w:tab/>
        </w:r>
        <w:r>
          <w:rPr>
            <w:lang w:val="uk-UA"/>
          </w:rPr>
          <w:tab/>
        </w:r>
        <w:r>
          <w:rPr>
            <w:rFonts w:ascii="Times New Roman" w:hAnsi="Times New Roman" w:cs="Times New Roman"/>
            <w:lang w:val="uk-UA"/>
          </w:rPr>
          <w:t xml:space="preserve">Продовження додатка</w:t>
        </w:r>
        <w:r/>
      </w:p>
    </w:sdtContent>
  </w:sdt>
  <w:p>
    <w:pPr>
      <w:pStyle w:val="9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hint="default" w:ascii="Times New Roman" w:hAnsi="Times New Roman" w:cs="Times New Roman" w:eastAsiaTheme="minorHAnsi"/>
      </w:rPr>
      <w:start w:val="20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7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8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9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0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1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2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3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5">
    <w:name w:val="Title Char"/>
    <w:basedOn w:val="799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6">
    <w:name w:val="Subtitle Char"/>
    <w:basedOn w:val="799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7">
    <w:name w:val="Quote Char"/>
    <w:basedOn w:val="799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8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9">
    <w:name w:val="Intense Quote Char"/>
    <w:basedOn w:val="799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0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1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2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783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784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5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6">
    <w:name w:val="Footnote Text Char"/>
    <w:basedOn w:val="799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787">
    <w:name w:val="Endnote Text Char"/>
    <w:basedOn w:val="799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788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9" w:default="1">
    <w:name w:val="Normal"/>
    <w:qFormat/>
    <w:pPr>
      <w:pBdr/>
      <w:spacing/>
      <w:ind/>
    </w:pPr>
  </w:style>
  <w:style w:type="paragraph" w:styleId="790">
    <w:name w:val="Heading 1"/>
    <w:basedOn w:val="789"/>
    <w:next w:val="789"/>
    <w:link w:val="80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789"/>
    <w:next w:val="789"/>
    <w:link w:val="80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2">
    <w:name w:val="Heading 3"/>
    <w:basedOn w:val="789"/>
    <w:next w:val="789"/>
    <w:link w:val="80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80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80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80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96">
    <w:name w:val="Heading 7"/>
    <w:basedOn w:val="789"/>
    <w:next w:val="789"/>
    <w:link w:val="80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7">
    <w:name w:val="Heading 8"/>
    <w:basedOn w:val="789"/>
    <w:next w:val="789"/>
    <w:link w:val="80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98">
    <w:name w:val="Heading 9"/>
    <w:basedOn w:val="789"/>
    <w:next w:val="789"/>
    <w:link w:val="81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 w:customStyle="1">
    <w:name w:val="Заголовок 1 Знак"/>
    <w:basedOn w:val="799"/>
    <w:link w:val="7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99"/>
    <w:link w:val="7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99"/>
    <w:link w:val="7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99"/>
    <w:link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99"/>
    <w:link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99"/>
    <w:link w:val="7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99"/>
    <w:link w:val="7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789"/>
    <w:next w:val="789"/>
    <w:link w:val="81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2" w:customStyle="1">
    <w:name w:val="Название Знак"/>
    <w:basedOn w:val="799"/>
    <w:link w:val="811"/>
    <w:uiPriority w:val="10"/>
    <w:pPr>
      <w:pBdr/>
      <w:spacing/>
      <w:ind/>
    </w:pPr>
    <w:rPr>
      <w:sz w:val="48"/>
      <w:szCs w:val="48"/>
    </w:rPr>
  </w:style>
  <w:style w:type="paragraph" w:styleId="813">
    <w:name w:val="Subtitle"/>
    <w:basedOn w:val="789"/>
    <w:next w:val="789"/>
    <w:link w:val="814"/>
    <w:uiPriority w:val="11"/>
    <w:qFormat/>
    <w:pPr>
      <w:pBdr/>
      <w:spacing w:before="200"/>
      <w:ind/>
    </w:pPr>
    <w:rPr>
      <w:sz w:val="24"/>
      <w:szCs w:val="24"/>
    </w:rPr>
  </w:style>
  <w:style w:type="character" w:styleId="814" w:customStyle="1">
    <w:name w:val="Подзаголовок Знак"/>
    <w:basedOn w:val="799"/>
    <w:link w:val="813"/>
    <w:uiPriority w:val="11"/>
    <w:pPr>
      <w:pBdr/>
      <w:spacing/>
      <w:ind/>
    </w:pPr>
    <w:rPr>
      <w:sz w:val="24"/>
      <w:szCs w:val="24"/>
    </w:rPr>
  </w:style>
  <w:style w:type="paragraph" w:styleId="815">
    <w:name w:val="Quote"/>
    <w:basedOn w:val="789"/>
    <w:next w:val="789"/>
    <w:link w:val="816"/>
    <w:uiPriority w:val="29"/>
    <w:qFormat/>
    <w:pPr>
      <w:pBdr/>
      <w:spacing/>
      <w:ind w:right="720" w:left="720"/>
    </w:pPr>
    <w:rPr>
      <w:i/>
    </w:rPr>
  </w:style>
  <w:style w:type="character" w:styleId="816" w:customStyle="1">
    <w:name w:val="Цитата 2 Знак"/>
    <w:link w:val="815"/>
    <w:uiPriority w:val="29"/>
    <w:pPr>
      <w:pBdr/>
      <w:spacing/>
      <w:ind/>
    </w:pPr>
    <w:rPr>
      <w:i/>
    </w:rPr>
  </w:style>
  <w:style w:type="paragraph" w:styleId="817">
    <w:name w:val="Intense Quote"/>
    <w:basedOn w:val="789"/>
    <w:next w:val="789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8" w:customStyle="1">
    <w:name w:val="Выделенная цитата Знак"/>
    <w:link w:val="817"/>
    <w:uiPriority w:val="30"/>
    <w:pPr>
      <w:pBdr/>
      <w:spacing/>
      <w:ind/>
    </w:pPr>
    <w:rPr>
      <w:i/>
    </w:rPr>
  </w:style>
  <w:style w:type="character" w:styleId="819" w:customStyle="1">
    <w:name w:val="Header Char"/>
    <w:basedOn w:val="799"/>
    <w:uiPriority w:val="99"/>
    <w:pPr>
      <w:pBdr/>
      <w:spacing/>
      <w:ind/>
    </w:pPr>
  </w:style>
  <w:style w:type="character" w:styleId="820" w:customStyle="1">
    <w:name w:val="Footer Char"/>
    <w:basedOn w:val="799"/>
    <w:uiPriority w:val="99"/>
    <w:pPr>
      <w:pBdr/>
      <w:spacing/>
      <w:ind/>
    </w:pPr>
  </w:style>
  <w:style w:type="paragraph" w:styleId="821">
    <w:name w:val="Caption"/>
    <w:basedOn w:val="789"/>
    <w:next w:val="789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Caption Char"/>
    <w:uiPriority w:val="99"/>
    <w:pPr>
      <w:pBdr/>
      <w:spacing/>
      <w:ind/>
    </w:pPr>
  </w:style>
  <w:style w:type="table" w:styleId="823" w:customStyle="1">
    <w:name w:val="Table Grid Light"/>
    <w:basedOn w:val="80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1"/>
    <w:basedOn w:val="80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2"/>
    <w:basedOn w:val="8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basedOn w:val="8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basedOn w:val="80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basedOn w:val="8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9">
    <w:name w:val="footnote text"/>
    <w:basedOn w:val="789"/>
    <w:link w:val="9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0" w:customStyle="1">
    <w:name w:val="Текст сноски Знак"/>
    <w:link w:val="949"/>
    <w:uiPriority w:val="99"/>
    <w:pPr>
      <w:pBdr/>
      <w:spacing/>
      <w:ind/>
    </w:pPr>
    <w:rPr>
      <w:sz w:val="18"/>
    </w:rPr>
  </w:style>
  <w:style w:type="character" w:styleId="951">
    <w:name w:val="footnote reference"/>
    <w:basedOn w:val="799"/>
    <w:uiPriority w:val="99"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789"/>
    <w:link w:val="9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pPr>
      <w:pBdr/>
      <w:spacing/>
      <w:ind/>
    </w:pPr>
    <w:rPr>
      <w:sz w:val="20"/>
    </w:rPr>
  </w:style>
  <w:style w:type="character" w:styleId="95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toc 1"/>
    <w:basedOn w:val="789"/>
    <w:next w:val="789"/>
    <w:uiPriority w:val="39"/>
    <w:unhideWhenUsed/>
    <w:pPr>
      <w:pBdr/>
      <w:spacing w:after="57"/>
      <w:ind/>
    </w:pPr>
  </w:style>
  <w:style w:type="paragraph" w:styleId="956">
    <w:name w:val="toc 2"/>
    <w:basedOn w:val="789"/>
    <w:next w:val="789"/>
    <w:uiPriority w:val="39"/>
    <w:unhideWhenUsed/>
    <w:pPr>
      <w:pBdr/>
      <w:spacing w:after="57"/>
      <w:ind w:left="283"/>
    </w:pPr>
  </w:style>
  <w:style w:type="paragraph" w:styleId="957">
    <w:name w:val="toc 3"/>
    <w:basedOn w:val="789"/>
    <w:next w:val="789"/>
    <w:uiPriority w:val="39"/>
    <w:unhideWhenUsed/>
    <w:pPr>
      <w:pBdr/>
      <w:spacing w:after="57"/>
      <w:ind w:left="567"/>
    </w:pPr>
  </w:style>
  <w:style w:type="paragraph" w:styleId="958">
    <w:name w:val="toc 4"/>
    <w:basedOn w:val="789"/>
    <w:next w:val="789"/>
    <w:uiPriority w:val="39"/>
    <w:unhideWhenUsed/>
    <w:pPr>
      <w:pBdr/>
      <w:spacing w:after="57"/>
      <w:ind w:left="850"/>
    </w:pPr>
  </w:style>
  <w:style w:type="paragraph" w:styleId="959">
    <w:name w:val="toc 5"/>
    <w:basedOn w:val="789"/>
    <w:next w:val="789"/>
    <w:uiPriority w:val="39"/>
    <w:unhideWhenUsed/>
    <w:pPr>
      <w:pBdr/>
      <w:spacing w:after="57"/>
      <w:ind w:left="1134"/>
    </w:pPr>
  </w:style>
  <w:style w:type="paragraph" w:styleId="960">
    <w:name w:val="toc 6"/>
    <w:basedOn w:val="789"/>
    <w:next w:val="789"/>
    <w:uiPriority w:val="39"/>
    <w:unhideWhenUsed/>
    <w:pPr>
      <w:pBdr/>
      <w:spacing w:after="57"/>
      <w:ind w:left="1417"/>
    </w:pPr>
  </w:style>
  <w:style w:type="paragraph" w:styleId="961">
    <w:name w:val="toc 7"/>
    <w:basedOn w:val="789"/>
    <w:next w:val="789"/>
    <w:uiPriority w:val="39"/>
    <w:unhideWhenUsed/>
    <w:pPr>
      <w:pBdr/>
      <w:spacing w:after="57"/>
      <w:ind w:left="1701"/>
    </w:pPr>
  </w:style>
  <w:style w:type="paragraph" w:styleId="962">
    <w:name w:val="toc 8"/>
    <w:basedOn w:val="789"/>
    <w:next w:val="789"/>
    <w:uiPriority w:val="39"/>
    <w:unhideWhenUsed/>
    <w:pPr>
      <w:pBdr/>
      <w:spacing w:after="57"/>
      <w:ind w:left="1984"/>
    </w:pPr>
  </w:style>
  <w:style w:type="paragraph" w:styleId="963">
    <w:name w:val="toc 9"/>
    <w:basedOn w:val="789"/>
    <w:next w:val="789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789"/>
    <w:next w:val="789"/>
    <w:uiPriority w:val="99"/>
    <w:unhideWhenUsed/>
    <w:pPr>
      <w:pBdr/>
      <w:spacing w:after="0"/>
      <w:ind/>
    </w:pPr>
  </w:style>
  <w:style w:type="paragraph" w:styleId="966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67">
    <w:name w:val="Balloon Text"/>
    <w:basedOn w:val="789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8" w:customStyle="1">
    <w:name w:val="Текст выноски Знак"/>
    <w:basedOn w:val="799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Header"/>
    <w:basedOn w:val="78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Верхний колонтитул Знак"/>
    <w:basedOn w:val="799"/>
    <w:link w:val="969"/>
    <w:uiPriority w:val="99"/>
    <w:pPr>
      <w:pBdr/>
      <w:spacing/>
      <w:ind/>
    </w:pPr>
  </w:style>
  <w:style w:type="paragraph" w:styleId="971">
    <w:name w:val="Footer"/>
    <w:basedOn w:val="789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2" w:customStyle="1">
    <w:name w:val="Нижний колонтитул Знак"/>
    <w:basedOn w:val="799"/>
    <w:link w:val="971"/>
    <w:uiPriority w:val="99"/>
    <w:pPr>
      <w:pBdr/>
      <w:spacing/>
      <w:ind/>
    </w:pPr>
  </w:style>
  <w:style w:type="table" w:styleId="973">
    <w:name w:val="Table Grid"/>
    <w:basedOn w:val="8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List Paragraph"/>
    <w:basedOn w:val="78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5E0A798-5567-4822-B623-02D4050EC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СТАЛЬНИЧЕНКО Юрій Валерійович</cp:lastModifiedBy>
  <cp:revision>29</cp:revision>
  <dcterms:created xsi:type="dcterms:W3CDTF">2024-10-07T13:00:00Z</dcterms:created>
  <dcterms:modified xsi:type="dcterms:W3CDTF">2024-12-22T11:32:43Z</dcterms:modified>
</cp:coreProperties>
</file>