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after="0" w:afterAutospacing="0" w:before="0" w:beforeAutospacing="0" w:line="240" w:lineRule="auto"/>
        <w:ind w:right="-2" w:firstLine="0" w:left="5669"/>
        <w:jc w:val="both"/>
        <w:rPr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z w:val="22"/>
          <w:szCs w:val="22"/>
        </w:rPr>
        <w:t xml:space="preserve">Додаток  </w:t>
      </w:r>
      <w:r>
        <w:rPr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after="0" w:afterAutospacing="0" w:before="0" w:beforeAutospacing="0" w:line="240" w:lineRule="auto"/>
        <w:ind w:right="-2" w:firstLine="0" w:left="5669"/>
        <w:jc w:val="both"/>
        <w:rPr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z w:val="22"/>
          <w:szCs w:val="22"/>
        </w:rPr>
        <w:t xml:space="preserve">до рішення 56 сесії Менської міської ради 8 скликання</w:t>
      </w:r>
      <w:r>
        <w:rPr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after="0" w:afterAutospacing="0" w:before="0" w:beforeAutospacing="0" w:line="240" w:lineRule="auto"/>
        <w:ind w:right="-2" w:firstLine="0" w:left="5669"/>
        <w:jc w:val="both"/>
        <w:rPr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z w:val="22"/>
          <w:szCs w:val="22"/>
        </w:rPr>
        <w:t xml:space="preserve">19 грудня</w:t>
      </w:r>
      <w:r>
        <w:rPr>
          <w:rFonts w:ascii="Times New Roman" w:hAnsi="Times New Roman" w:eastAsia="Times New Roman" w:cs="Times New Roman"/>
          <w:color w:val="ff0000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2"/>
          <w:szCs w:val="22"/>
        </w:rPr>
        <w:t xml:space="preserve">2024 року №731</w:t>
      </w:r>
      <w:r>
        <w:rPr>
          <w:sz w:val="22"/>
          <w:szCs w:val="22"/>
        </w:rPr>
      </w:r>
    </w:p>
    <w:p>
      <w:pPr>
        <w:pStyle w:val="792"/>
        <w:pBdr/>
        <w:spacing w:after="0" w:afterAutospacing="0" w:before="0" w:beforeAutospacing="0" w:line="240" w:lineRule="auto"/>
        <w:ind w:left="566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 w:left="566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 w:left="566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 w:left="566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 w:left="566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 w:left="566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 w:left="566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 w:left="566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 w:left="566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 w:left="566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 w:left="5669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  <w:t xml:space="preserve">ПРОГРАМА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  <w:t xml:space="preserve">видалення аварійних та небезпечних дерев на території Менської міської територіальної громади на 2025-2027 роки</w:t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 w:val="0"/>
          <w:bCs w:val="0"/>
          <w:color w:val="000000"/>
          <w:sz w:val="28"/>
          <w:szCs w:val="28"/>
        </w:rPr>
      </w:pPr>
      <w:r>
        <w:rPr>
          <w:rFonts w:ascii="Times New Roman" w:hAnsi="Times New Roman" w:eastAsia="Times New Roman"/>
          <w:b w:val="0"/>
          <w:bCs w:val="0"/>
          <w:color w:val="000000"/>
          <w:sz w:val="28"/>
          <w:szCs w:val="28"/>
        </w:rPr>
        <w:t xml:space="preserve">м. Мена</w:t>
      </w:r>
      <w:r>
        <w:rPr>
          <w:rFonts w:ascii="Times New Roman" w:hAnsi="Times New Roman" w:eastAsia="Times New Roman"/>
          <w:b w:val="0"/>
          <w:bCs w:val="0"/>
          <w:color w:val="000000"/>
          <w:sz w:val="28"/>
          <w:szCs w:val="28"/>
        </w:rPr>
      </w:r>
      <w:r>
        <w:rPr>
          <w:rFonts w:ascii="Times New Roman" w:hAnsi="Times New Roman" w:eastAsia="Times New Roman"/>
          <w:b w:val="0"/>
          <w:bCs w:val="0"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 w:val="0"/>
          <w:bCs w:val="0"/>
          <w:color w:val="000000"/>
          <w:sz w:val="28"/>
          <w:szCs w:val="28"/>
        </w:rPr>
      </w:pPr>
      <w:r>
        <w:rPr>
          <w:rFonts w:ascii="Times New Roman" w:hAnsi="Times New Roman" w:eastAsia="Times New Roman"/>
          <w:b w:val="0"/>
          <w:bCs w:val="0"/>
          <w:color w:val="000000"/>
          <w:sz w:val="28"/>
          <w:szCs w:val="28"/>
        </w:rPr>
        <w:t xml:space="preserve">2024 рік</w:t>
      </w:r>
      <w:r>
        <w:rPr>
          <w:rFonts w:ascii="Times New Roman" w:hAnsi="Times New Roman" w:eastAsia="Times New Roman"/>
          <w:b w:val="0"/>
          <w:bCs w:val="0"/>
          <w:color w:val="000000"/>
          <w:sz w:val="28"/>
          <w:szCs w:val="28"/>
        </w:rPr>
      </w:r>
      <w:r>
        <w:rPr>
          <w:rFonts w:ascii="Times New Roman" w:hAnsi="Times New Roman" w:eastAsia="Times New Roman"/>
          <w:b w:val="0"/>
          <w:bCs w:val="0"/>
          <w:color w:val="000000"/>
          <w:sz w:val="28"/>
          <w:szCs w:val="28"/>
        </w:rPr>
      </w:r>
    </w:p>
    <w:p>
      <w:pPr>
        <w:pBdr/>
        <w:shd w:val="nil"/>
        <w:spacing/>
        <w:ind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  <w:br w:type="page" w:clear="all"/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numPr>
          <w:ilvl w:val="0"/>
          <w:numId w:val="12"/>
        </w:numPr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  <w:t xml:space="preserve">ПАСПОРТ Програма видалення аварійних та небезпечних дерев на території Менської міської територіальної громади на 2025-2027 роки</w:t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tbl>
      <w:tblPr>
        <w:tblW w:w="0" w:type="auto"/>
        <w:tblInd w:w="2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817"/>
        <w:gridCol w:w="2835"/>
        <w:gridCol w:w="5919"/>
      </w:tblGrid>
      <w:tr>
        <w:trPr/>
        <w:tc>
          <w:tcPr>
            <w:tcBorders/>
            <w:tcW w:w="817" w:type="dxa"/>
            <w:vAlign w:val="top"/>
            <w:textDirection w:val="lrTb"/>
            <w:noWrap w:val="false"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  <w:tc>
          <w:tcPr>
            <w:tcBorders/>
            <w:tcW w:w="2835" w:type="dxa"/>
            <w:vAlign w:val="top"/>
            <w:textDirection w:val="lrTb"/>
            <w:noWrap w:val="false"/>
          </w:tcPr>
          <w:p>
            <w:pPr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Ініціатор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розроблення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Програми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  <w:tc>
          <w:tcPr>
            <w:tcBorders/>
            <w:tcW w:w="5919" w:type="dxa"/>
            <w:vAlign w:val="top"/>
            <w:textDirection w:val="lrTb"/>
            <w:noWrap w:val="false"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Менська міська рада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rPr>
          <w:trHeight w:val="2910"/>
        </w:trPr>
        <w:tc>
          <w:tcPr>
            <w:tcBorders>
              <w:bottom w:val="single" w:color="auto" w:sz="4" w:space="0"/>
            </w:tcBorders>
            <w:tcW w:w="817" w:type="dxa"/>
            <w:vAlign w:val="top"/>
            <w:textDirection w:val="lrTb"/>
            <w:noWrap w:val="false"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auto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Розпорядчі документи на основі яких розроблена Програма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auto" w:sz="4" w:space="0"/>
            </w:tcBorders>
            <w:tcW w:w="5919" w:type="dxa"/>
            <w:vAlign w:val="top"/>
            <w:textDirection w:val="lrTb"/>
            <w:noWrap w:val="false"/>
          </w:tcPr>
          <w:p>
            <w:pPr>
              <w:pStyle w:val="1007"/>
              <w:pBdr/>
              <w:tabs>
                <w:tab w:val="left" w:leader="none" w:pos="709"/>
              </w:tabs>
              <w:spacing w:after="0" w:afterAutospacing="0" w:before="0" w:beforeAutospacing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Закону України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Про місцеве самоврядування в Україні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 (від 21.05.1997 № 280/97-ВР);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  <w:p>
            <w:pPr>
              <w:pStyle w:val="1007"/>
              <w:pBdr/>
              <w:tabs>
                <w:tab w:val="left" w:leader="none" w:pos="709"/>
              </w:tabs>
              <w:spacing w:after="0" w:afterAutospacing="0" w:before="0" w:beforeAutospacing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Закону України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Про благоустрій населених пунктів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 (06.09.2005 № 2807-ІV);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  <w:p>
            <w:pPr>
              <w:pStyle w:val="1007"/>
              <w:pBdr/>
              <w:tabs>
                <w:tab w:val="left" w:leader="none" w:pos="709"/>
              </w:tabs>
              <w:spacing w:after="0" w:afterAutospacing="0" w:before="0" w:beforeAutospacing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Постанов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и Кабінету Міністрів України від 01.08.2006 № 1045 із змінами і доповненнями «Про затвердження Порядку видалення дерев, кущів, газонів і квітників у населених пунктах»;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  <w:p>
            <w:pPr>
              <w:pStyle w:val="1007"/>
              <w:pBdr/>
              <w:tabs>
                <w:tab w:val="left" w:leader="none" w:pos="709"/>
              </w:tabs>
              <w:spacing w:after="0" w:afterAutospacing="0" w:before="0" w:beforeAutospacing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Наказу Міністерства будівництва, архітектури та житлово-комунального господарства від 10.04.2006 № 105 «Про затвердження Правил у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 xml:space="preserve">тримання зелених насаджень в населених пунктах України».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rPr>
          <w:trHeight w:val="555"/>
        </w:trPr>
        <w:tc>
          <w:tcPr>
            <w:tcBorders>
              <w:bottom w:val="single" w:color="auto" w:sz="4" w:space="0"/>
            </w:tcBorders>
            <w:tcW w:w="817" w:type="dxa"/>
            <w:vAlign w:val="top"/>
            <w:textDirection w:val="lrTb"/>
            <w:noWrap w:val="false"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auto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Розробник Програми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auto" w:sz="4" w:space="0"/>
            </w:tcBorders>
            <w:tcW w:w="5919" w:type="dxa"/>
            <w:vAlign w:val="top"/>
            <w:textDirection w:val="lrTb"/>
            <w:noWrap w:val="false"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Відділ житлово - коммунального господарства та комунального майна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rPr>
          <w:trHeight w:val="986"/>
        </w:trPr>
        <w:tc>
          <w:tcPr>
            <w:tcBorders/>
            <w:tcW w:w="817" w:type="dxa"/>
            <w:vAlign w:val="top"/>
            <w:textDirection w:val="lrTb"/>
            <w:noWrap w:val="false"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  <w:tc>
          <w:tcPr>
            <w:tcBorders/>
            <w:tcW w:w="2835" w:type="dxa"/>
            <w:vAlign w:val="top"/>
            <w:textDirection w:val="lrTb"/>
            <w:noWrap w:val="false"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Відповідальний виконавець Програми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  <w:tc>
          <w:tcPr>
            <w:tcBorders/>
            <w:tcW w:w="5919" w:type="dxa"/>
            <w:vAlign w:val="top"/>
            <w:textDirection w:val="lrTb"/>
            <w:noWrap w:val="false"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Менська міська рада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rPr>
          <w:trHeight w:val="326"/>
        </w:trPr>
        <w:tc>
          <w:tcPr>
            <w:tcBorders>
              <w:bottom w:val="single" w:color="auto" w:sz="4" w:space="0"/>
            </w:tcBorders>
            <w:tcW w:w="817" w:type="dxa"/>
            <w:vAlign w:val="top"/>
            <w:textDirection w:val="lrTb"/>
            <w:noWrap w:val="false"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auto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Учасники Програми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auto" w:sz="4" w:space="0"/>
            </w:tcBorders>
            <w:tcW w:w="5919" w:type="dxa"/>
            <w:vAlign w:val="top"/>
            <w:textDirection w:val="lrTb"/>
            <w:noWrap w:val="false"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Менська міська ррада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rPr>
          <w:trHeight w:val="409"/>
        </w:trPr>
        <w:tc>
          <w:tcPr>
            <w:tcBorders>
              <w:bottom w:val="single" w:color="auto" w:sz="4" w:space="0"/>
            </w:tcBorders>
            <w:tcW w:w="817" w:type="dxa"/>
            <w:vAlign w:val="top"/>
            <w:textDirection w:val="lrTb"/>
            <w:noWrap w:val="false"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auto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Термін реалізації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  <w:tc>
          <w:tcPr>
            <w:tcBorders>
              <w:bottom w:val="single" w:color="auto" w:sz="4" w:space="0"/>
            </w:tcBorders>
            <w:tcW w:w="5919" w:type="dxa"/>
            <w:vAlign w:val="top"/>
            <w:textDirection w:val="lrTb"/>
            <w:noWrap w:val="false"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2025-2027 роки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rPr>
          <w:trHeight w:val="690"/>
        </w:trPr>
        <w:tc>
          <w:tcPr>
            <w:tcBorders/>
            <w:tcW w:w="817" w:type="dxa"/>
            <w:vAlign w:val="top"/>
            <w:textDirection w:val="lrTb"/>
            <w:noWrap w:val="false"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  <w:tc>
          <w:tcPr>
            <w:tcBorders/>
            <w:tcW w:w="2835" w:type="dxa"/>
            <w:vAlign w:val="top"/>
            <w:textDirection w:val="lrTb"/>
            <w:noWrap w:val="false"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Загальний обсяг фінансових ресурсів, необхідних для реалізації Програми. Всього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  <w:tc>
          <w:tcPr>
            <w:tcBorders/>
            <w:tcW w:w="5919" w:type="dxa"/>
            <w:vAlign w:val="top"/>
            <w:textDirection w:val="lrTb"/>
            <w:noWrap w:val="false"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81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0000,00грн.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2025- рік-2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0 000грн.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2026 рік-27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0 000грн.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2027 рік-32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0 000грн.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  <w:tr>
        <w:trPr>
          <w:trHeight w:val="1272"/>
        </w:trPr>
        <w:tc>
          <w:tcPr>
            <w:tcBorders/>
            <w:tcW w:w="817" w:type="dxa"/>
            <w:vAlign w:val="top"/>
            <w:textDirection w:val="lrTb"/>
            <w:noWrap w:val="false"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7.1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  <w:tc>
          <w:tcPr>
            <w:tcBorders/>
            <w:tcW w:w="2835" w:type="dxa"/>
            <w:vAlign w:val="top"/>
            <w:textDirection w:val="lrTb"/>
            <w:noWrap w:val="false"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У тому числі коштів бюджету Менської міської територіальної громади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  <w:tc>
          <w:tcPr>
            <w:tcBorders/>
            <w:tcW w:w="5919" w:type="dxa"/>
            <w:vAlign w:val="top"/>
            <w:textDirection w:val="lrTb"/>
            <w:noWrap w:val="false"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750 000,00грн.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2025 рік-200 000гон.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2026 рік-250 000грн.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2027 рік-300 000грн.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</w:tbl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Примітка: обсяги фінансових ресурсів можуть коригуватись</w:t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Bdr/>
        <w:shd w:val="nil"/>
        <w:spacing/>
        <w:ind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  <w:highlight w:val="none"/>
        </w:rPr>
        <w:br w:type="page" w:clear="all"/>
      </w:r>
      <w:r>
        <w:rPr>
          <w:rFonts w:ascii="Times New Roman" w:hAnsi="Times New Roman" w:eastAsia="Times New Roman"/>
          <w:b/>
          <w:color w:val="000000"/>
          <w:sz w:val="28"/>
          <w:szCs w:val="28"/>
          <w:highlight w:val="none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  <w:t xml:space="preserve">2. </w:t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  <w:t xml:space="preserve">ЗАГАЛЬНІ ПОЛОЖЕННЯ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92"/>
        <w:suppressLineNumbers w:val="false"/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Прог</w:t>
      </w:r>
      <w:r>
        <w:rPr>
          <w:rFonts w:ascii="Times New Roman" w:hAnsi="Times New Roman" w:eastAsia="Times New Roman"/>
          <w:sz w:val="28"/>
          <w:szCs w:val="28"/>
        </w:rPr>
        <w:t xml:space="preserve">рама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розроблена відповідно до: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1007"/>
        <w:suppressLineNumbers w:val="false"/>
        <w:pBdr/>
        <w:tabs>
          <w:tab w:val="left" w:leader="none" w:pos="709"/>
        </w:tabs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Закону України </w:t>
      </w:r>
      <w:r>
        <w:rPr>
          <w:rFonts w:ascii="Times New Roman" w:hAnsi="Times New Roman" w:eastAsia="Times New Roman"/>
          <w:sz w:val="28"/>
          <w:szCs w:val="28"/>
        </w:rPr>
        <w:t xml:space="preserve">«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Про місцеве самоврядування в Україні</w:t>
      </w:r>
      <w:r>
        <w:rPr>
          <w:rFonts w:ascii="Times New Roman" w:hAnsi="Times New Roman" w:eastAsia="Times New Roman"/>
          <w:sz w:val="28"/>
          <w:szCs w:val="28"/>
        </w:rPr>
        <w:t xml:space="preserve">»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 (від 21.05.1997 № 280/97-ВР);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1007"/>
        <w:suppressLineNumbers w:val="false"/>
        <w:pBdr/>
        <w:tabs>
          <w:tab w:val="left" w:leader="none" w:pos="709"/>
        </w:tabs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Закону України </w:t>
      </w:r>
      <w:r>
        <w:rPr>
          <w:rFonts w:ascii="Times New Roman" w:hAnsi="Times New Roman" w:eastAsia="Times New Roman"/>
          <w:sz w:val="28"/>
          <w:szCs w:val="28"/>
        </w:rPr>
        <w:t xml:space="preserve">«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Про благоустрій населених пунктів</w:t>
      </w:r>
      <w:r>
        <w:rPr>
          <w:rFonts w:ascii="Times New Roman" w:hAnsi="Times New Roman" w:eastAsia="Times New Roman"/>
          <w:sz w:val="28"/>
          <w:szCs w:val="28"/>
        </w:rPr>
        <w:t xml:space="preserve">»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 (06.09.2005 № 2807-ІV);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1007"/>
        <w:suppressLineNumbers w:val="false"/>
        <w:pBdr/>
        <w:tabs>
          <w:tab w:val="left" w:leader="none" w:pos="709"/>
        </w:tabs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Постанов</w:t>
      </w:r>
      <w:r>
        <w:rPr>
          <w:rFonts w:ascii="Times New Roman" w:hAnsi="Times New Roman" w:eastAsia="Times New Roman"/>
          <w:sz w:val="28"/>
          <w:szCs w:val="28"/>
        </w:rPr>
        <w:t xml:space="preserve">и Кабінету Міністрів України від 01.08.2006 № 1045 із змінами і доповненнями «Про затвердження Порядку видалення дерев, кущів, газонів і квітників у населених пунктах»;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1007"/>
        <w:suppressLineNumbers w:val="false"/>
        <w:pBdr/>
        <w:tabs>
          <w:tab w:val="left" w:leader="none" w:pos="709"/>
        </w:tabs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Наказу Міністерства будівництва, архітектури та житлово-комунального господарств</w:t>
      </w:r>
      <w:r>
        <w:rPr>
          <w:rFonts w:ascii="Times New Roman" w:hAnsi="Times New Roman" w:eastAsia="Times New Roman"/>
          <w:sz w:val="28"/>
          <w:szCs w:val="28"/>
        </w:rPr>
        <w:t xml:space="preserve">а від 10.04.2006 № 105 «Про затвердження Правил у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тримання зелених насаджень в населених пунктах України».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 w:left="709"/>
        <w:jc w:val="center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  <w:t xml:space="preserve">3. ОБҐРУНТОВУВАННЯ </w:t>
      </w:r>
      <w:r>
        <w:rPr>
          <w:rFonts w:ascii="Times New Roman" w:hAnsi="Times New Roman" w:eastAsia="Times New Roman"/>
          <w:b/>
          <w:sz w:val="28"/>
          <w:szCs w:val="28"/>
        </w:rPr>
        <w:t xml:space="preserve">НЕОБХІДНОСТІ </w:t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  <w:t xml:space="preserve">ПРИЙНЯТТЯ ПРОГРАМИ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92"/>
        <w:suppressLineNumbers w:val="false"/>
        <w:pBdr/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На</w:t>
      </w:r>
      <w:r>
        <w:rPr>
          <w:rFonts w:ascii="Times New Roman" w:hAnsi="Times New Roman" w:eastAsia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сьогоднішній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 день проблема видалення аварійних,</w:t>
      </w:r>
      <w:r>
        <w:rPr>
          <w:rFonts w:ascii="Times New Roman" w:hAnsi="Times New Roman" w:eastAsia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сухостійних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дерев, які дося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гли вікової межі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, насаджень загального кори</w:t>
      </w:r>
      <w:r>
        <w:rPr>
          <w:rFonts w:ascii="Times New Roman" w:hAnsi="Times New Roman" w:eastAsia="Times New Roman"/>
          <w:color w:val="000000"/>
          <w:sz w:val="28"/>
          <w:szCs w:val="28"/>
          <w:lang w:val="ru-RU"/>
        </w:rPr>
        <w:t xml:space="preserve">стування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 на території громади ста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ла дуже важливою і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 актуальною.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92"/>
        <w:suppressLineNumbers w:val="false"/>
        <w:pBdr/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В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 на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селених пунктах Менської міської територіальної громади на даний час нараховується велика кількість аварійно-небезпечних дерев, більшість з яких є небезпечними для будівель, автотранспорту, електромереж, комунікацій та життя жителів.</w:t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  <w:t xml:space="preserve">4. МЕТА І ЗАВДАННЯ </w:t>
      </w:r>
      <w:r>
        <w:rPr>
          <w:rFonts w:ascii="Times New Roman" w:hAnsi="Times New Roman" w:eastAsia="Times New Roman"/>
          <w:b/>
          <w:sz w:val="28"/>
          <w:szCs w:val="28"/>
        </w:rPr>
        <w:t xml:space="preserve">ПРИЙНЯТТЯ </w:t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  <w:t xml:space="preserve">ПРОГРАМИ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92"/>
        <w:suppressLineNumbers w:val="false"/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Метою Програми є попередження виникнення надзвичайних ситуацій на території населених пунктів Менської міської ТГ, пов’язаних з аварійністю дерев, забезпечення безпеки для життя, здоров’я та майна людей, запобігання аварійним відключенням повітряних ліній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електропередачі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, ліній зв’язку, виникненням інших аварійних ситуацій.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92"/>
        <w:suppressLineNumbers w:val="false"/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Основним завданням Програми є забезпечити протягом 2025-2027 років організацію комплексу робіт по виконанню робіт з видалення аварійних та перерослих дерев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 в місцях найбільшого скупчення людей, транспорту, комунікацій, тощо.</w:t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  <w:t xml:space="preserve">5. ОСНОВНІ ЗАХОДИ </w:t>
      </w:r>
      <w:r>
        <w:rPr>
          <w:rFonts w:ascii="Times New Roman" w:hAnsi="Times New Roman" w:eastAsia="Times New Roman"/>
          <w:b/>
          <w:sz w:val="28"/>
          <w:szCs w:val="28"/>
        </w:rPr>
        <w:t xml:space="preserve">ПРОГРАМИ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92"/>
        <w:suppressLineNumbers w:val="false"/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Видалення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 зелених насаджень на території населених пунктів Менської міської ТГ здійснюється за рішенням виконавчого комітету міської ради на підставі ордера.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92"/>
        <w:suppressLineNumbers w:val="false"/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Видалення зелених насаджень проводиться у відповідності до Порядку видалення дерев, кущів, газонів і квітників у населених пунктах України (далі – Порядок), затвердженого постановою Кабінету Міністрів України від 01.08.2006 № 1045. 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92"/>
        <w:suppressLineNumbers w:val="false"/>
        <w:pBdr/>
        <w:spacing w:after="0" w:afterAutospacing="0" w:before="0" w:beforeAutospacing="0" w:line="240" w:lineRule="auto"/>
        <w:ind w:firstLine="567" w:left="72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Видалення зелених насаджень здійснюється у разі: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1007"/>
        <w:suppressLineNumbers w:val="false"/>
        <w:pBdr/>
        <w:tabs>
          <w:tab w:val="left" w:leader="none" w:pos="709"/>
        </w:tabs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- будівництва об’єкта архітектури на підставі документів, визначених части</w:t>
      </w:r>
      <w:r>
        <w:rPr>
          <w:rFonts w:ascii="Times New Roman" w:hAnsi="Times New Roman" w:eastAsia="Times New Roman"/>
          <w:sz w:val="28"/>
          <w:szCs w:val="28"/>
        </w:rPr>
        <w:t xml:space="preserve">ною першою статті 34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HYPERLINK "http://zakon2.rada.gov.ua/laws/show/3038-17" \o "http://zakon2.rada.gov.ua/laws/show/3038-17"</w:instrText>
      </w:r>
      <w:r>
        <w:rPr>
          <w:sz w:val="28"/>
          <w:szCs w:val="28"/>
        </w:rPr>
        <w:fldChar w:fldCharType="separate"/>
      </w:r>
      <w:r>
        <w:rPr>
          <w:rFonts w:ascii="Times New Roman" w:hAnsi="Times New Roman" w:eastAsia="Times New Roman"/>
          <w:sz w:val="28"/>
          <w:szCs w:val="28"/>
        </w:rPr>
        <w:t xml:space="preserve">Закону України «Про регулювання містобудівної діяльності</w:t>
      </w:r>
      <w:r>
        <w:rPr>
          <w:sz w:val="28"/>
          <w:szCs w:val="28"/>
        </w:rPr>
        <w:fldChar w:fldCharType="end"/>
      </w:r>
      <w:r>
        <w:rPr>
          <w:rFonts w:ascii="Times New Roman" w:hAnsi="Times New Roman" w:eastAsia="Times New Roman"/>
          <w:sz w:val="28"/>
          <w:szCs w:val="28"/>
        </w:rPr>
        <w:t xml:space="preserve">»;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1007"/>
        <w:suppressLineNumbers w:val="false"/>
        <w:pBdr/>
        <w:tabs>
          <w:tab w:val="left" w:leader="none" w:pos="709"/>
        </w:tabs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- знесення аварійних, сухостійних і фаутних дерев, а також самосійних і порослевих дерев з діаметром кореневої шийки не більш як 5 сантиметрів;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1007"/>
        <w:suppressLineNumbers w:val="false"/>
        <w:pBdr/>
        <w:tabs>
          <w:tab w:val="left" w:leader="none" w:pos="709"/>
        </w:tabs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аварійної ситуації на інженерних мережах населеного пункту;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1007"/>
        <w:suppressLineNumbers w:val="false"/>
        <w:pBdr/>
        <w:tabs>
          <w:tab w:val="left" w:leader="none" w:pos="709"/>
        </w:tabs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- відновлення світлового режиму в житловому приміщенні, що затіняється деревами;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1007"/>
        <w:suppressLineNumbers w:val="false"/>
        <w:pBdr/>
        <w:tabs>
          <w:tab w:val="left" w:leader="none" w:pos="709"/>
        </w:tabs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- проведення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 ремонтних та експлуатаційних робіт в охоронній зоні повітряних ліній </w:t>
      </w:r>
      <w:r>
        <w:rPr>
          <w:rFonts w:ascii="Times New Roman" w:hAnsi="Times New Roman" w:eastAsia="Times New Roman"/>
          <w:sz w:val="28"/>
          <w:szCs w:val="28"/>
        </w:rPr>
        <w:t xml:space="preserve">електропередачі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, на трансформаторній підстанції і розподільному пункті системи енергопостачання, мережі водо-, теплопостачання та водовідведення, телекомунікаційній і кабельній електромережі, що належать до комунальної власності;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1007"/>
        <w:suppressLineNumbers w:val="false"/>
        <w:pBdr/>
        <w:tabs>
          <w:tab w:val="left" w:leader="none" w:pos="709"/>
        </w:tabs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- досягне</w:t>
      </w:r>
      <w:r>
        <w:rPr>
          <w:rFonts w:ascii="Times New Roman" w:hAnsi="Times New Roman" w:eastAsia="Times New Roman"/>
          <w:sz w:val="28"/>
          <w:szCs w:val="28"/>
        </w:rPr>
        <w:t xml:space="preserve">ння деревом вікової межі;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1007"/>
        <w:suppressLineNumbers w:val="false"/>
        <w:pBdr/>
        <w:tabs>
          <w:tab w:val="left" w:leader="none" w:pos="709"/>
        </w:tabs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- провадження господарської діяльності на території розсадників з вирощування декоративних дерев та кущів;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1007"/>
        <w:suppressLineNumbers w:val="false"/>
        <w:pBdr/>
        <w:tabs>
          <w:tab w:val="left" w:leader="none" w:pos="709"/>
        </w:tabs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ліквідації наслідків стихійного лиха, аварійної та надзвичайної ситуац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ії.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92"/>
        <w:suppressLineNumbers w:val="false"/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У процесі лікві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дації наслідків стихійного лиха, аварійної та надзвичайної ситуації, а також у разі, коли стан зелених насаджень загрожує життю, здоров’ю людей чи майну громадян, видалення зелених насаджень здійснюється негайно з подальшим оформленням акту згідно Порядку.</w:t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Style w:val="792"/>
        <w:suppressLineNumbers w:val="false"/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Крім того рекомендується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звернути особливу  увагу на ав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а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рійні дерева в закладах освіти (школи,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дошкіл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ь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ні навчальні заклади), охорони здоров'я, соціально - культурної сфери, біля центральних міських доріг та інших місць найбільшого скупчення людей.</w:t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  <w:t xml:space="preserve">6. ОЧІКУВАНІ </w:t>
      </w:r>
      <w:r>
        <w:rPr>
          <w:rFonts w:ascii="Times New Roman" w:hAnsi="Times New Roman" w:eastAsia="Times New Roman"/>
          <w:b/>
          <w:sz w:val="28"/>
          <w:szCs w:val="28"/>
        </w:rPr>
        <w:t xml:space="preserve">РЕЗУЛЬТАТИ</w:t>
      </w:r>
      <w:r>
        <w:rPr>
          <w:rFonts w:ascii="Times New Roman" w:hAnsi="Times New Roman" w:eastAsia="Times New Roman"/>
          <w:b/>
          <w:sz w:val="28"/>
          <w:szCs w:val="28"/>
        </w:rPr>
      </w:r>
      <w:r>
        <w:rPr>
          <w:rFonts w:ascii="Times New Roman" w:hAnsi="Times New Roman" w:eastAsia="Times New Roman"/>
          <w:b/>
          <w:sz w:val="28"/>
          <w:szCs w:val="28"/>
        </w:rPr>
      </w:r>
    </w:p>
    <w:p>
      <w:pPr>
        <w:pStyle w:val="792"/>
        <w:suppressLineNumbers w:val="false"/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С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творення сприятливих безп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ечних умов для жителів міста, поліпшення архітектурни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х елементів населених пунктів Менської міської територіальної громади, покращення екологічної ситуації у громаді, зменшення випадків травматизму у людей, захист споруд та техніки від аварійних руйнувань.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92"/>
        <w:suppressLineNumbers w:val="false"/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Виконан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ня Програми дасть змогу забезпечити: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1007"/>
        <w:suppressLineNumbers w:val="false"/>
        <w:pBdr/>
        <w:tabs>
          <w:tab w:val="left" w:leader="none" w:pos="709"/>
        </w:tabs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- без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пеку ж</w:t>
      </w:r>
      <w:r>
        <w:rPr>
          <w:rFonts w:ascii="Times New Roman" w:hAnsi="Times New Roman" w:eastAsia="Times New Roman"/>
          <w:sz w:val="28"/>
          <w:szCs w:val="28"/>
        </w:rPr>
        <w:t xml:space="preserve">иттю, здоров’ю та майну громадян;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1007"/>
        <w:suppressLineNumbers w:val="false"/>
        <w:pBdr/>
        <w:tabs>
          <w:tab w:val="left" w:leader="none" w:pos="709"/>
        </w:tabs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- безпечну експлуатацію ліній </w:t>
      </w:r>
      <w:r>
        <w:rPr>
          <w:rFonts w:ascii="Times New Roman" w:hAnsi="Times New Roman" w:eastAsia="Times New Roman"/>
          <w:sz w:val="28"/>
          <w:szCs w:val="28"/>
        </w:rPr>
        <w:t xml:space="preserve">електропередачі</w:t>
      </w:r>
      <w:r>
        <w:rPr>
          <w:rFonts w:ascii="Times New Roman" w:hAnsi="Times New Roman" w:eastAsia="Times New Roman"/>
          <w:sz w:val="28"/>
          <w:szCs w:val="28"/>
        </w:rPr>
        <w:t xml:space="preserve">, ліній зв’язку та інших інженерних мереж комунальної власності;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1007"/>
        <w:suppressLineNumbers w:val="false"/>
        <w:pBdr/>
        <w:tabs>
          <w:tab w:val="left" w:leader="none" w:pos="709"/>
        </w:tabs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- покращення екологічної ситуації на території населених пунктів Менської міської ТГ;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1007"/>
        <w:suppressLineNumbers w:val="false"/>
        <w:pBdr/>
        <w:tabs>
          <w:tab w:val="left" w:leader="none" w:pos="709"/>
        </w:tabs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- омолодження паркових та рекреаційних зон;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1007"/>
        <w:suppressLineNumbers w:val="false"/>
        <w:pBdr/>
        <w:tabs>
          <w:tab w:val="left" w:leader="none" w:pos="709"/>
        </w:tabs>
        <w:spacing w:after="0" w:afterAutospacing="0" w:before="0" w:beforeAutospacing="0" w:line="240" w:lineRule="auto"/>
        <w:ind w:firstLine="567" w:left="0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- зме</w:t>
      </w:r>
      <w:r>
        <w:rPr>
          <w:rFonts w:ascii="Times New Roman" w:hAnsi="Times New Roman" w:eastAsia="Times New Roman"/>
          <w:sz w:val="28"/>
          <w:szCs w:val="28"/>
        </w:rPr>
        <w:t xml:space="preserve">ншення кільк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ості дорожньо-транспортних пригод.</w:t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 w:firstLine="708"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  <w:t xml:space="preserve">7.АНАЛІЗ ЕФЕКТИВНОСТІ ТА МОНІТОРИНГУ</w:t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</w:rPr>
      </w:r>
    </w:p>
    <w:p>
      <w:pPr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Результатом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реалізації Програми  бу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д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е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з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меншення звернень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 жителів нашої громади та зменшення кількості аварійних та небезпечних дерев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 на території М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енської територіальної громади, в порівнянні з попереднім роком.</w:t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 w:firstLine="708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</w:rPr>
        <w:t xml:space="preserve">8. ФІНАНСОВЕ ЗАБЕЗПЕЧЕННЯ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  <w14:ligatures w14:val="none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Фінансування Програми планується здійснювати за рахунок коштів міського бюджету та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 інших джерел фінансування незаборонені законодавством. </w:t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Обсяги фінансування Програми за рахунок коштів міського бюджету визначаються на 2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</w:rPr>
        <w:t xml:space="preserve">025-2027 роки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</w:rPr>
        <w:t xml:space="preserve"> відповідно до бюджету Менської міської територіальної громади.</w:t>
      </w:r>
      <w:r>
        <w:rPr>
          <w:rFonts w:ascii="Times New Roman" w:hAnsi="Times New Roman" w:eastAsia="Times New Roman"/>
          <w:sz w:val="28"/>
          <w:szCs w:val="28"/>
          <w:highlight w:val="white"/>
        </w:rPr>
      </w:r>
      <w:r>
        <w:rPr>
          <w:rFonts w:ascii="Times New Roman" w:hAnsi="Times New Roman" w:eastAsia="Times New Roman"/>
          <w:sz w:val="28"/>
          <w:szCs w:val="28"/>
          <w:highlight w:val="white"/>
        </w:rPr>
      </w:r>
    </w:p>
    <w:p>
      <w:pPr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Кошти, виділені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 з міського бюджету використовуються виключно для оплати послуг з видалення аварійно-небезпечних дерев (визначених рішенням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виконавчого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комітету Менської міської ради) на території населених пунктів Менської міської  територіальної громади в такому обсязі:</w:t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tbl>
      <w:tblPr>
        <w:tblW w:w="0" w:type="auto"/>
        <w:tblInd w:w="216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233"/>
        <w:gridCol w:w="2596"/>
        <w:gridCol w:w="3406"/>
        <w:gridCol w:w="2120"/>
      </w:tblGrid>
      <w:tr>
        <w:trPr>
          <w:cantSplit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33" w:type="dxa"/>
            <w:vAlign w:val="top"/>
            <w:vMerge w:val="restart"/>
            <w:textDirection w:val="lrTb"/>
            <w:noWrap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b w:val="0"/>
                <w:bCs w:val="0"/>
                <w:i w:val="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  <w:t xml:space="preserve">Рік</w:t>
            </w:r>
            <w:r>
              <w:rPr>
                <w:rFonts w:ascii="Times New Roman" w:hAnsi="Times New Roman" w:eastAsia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122" w:type="dxa"/>
            <w:vAlign w:val="top"/>
            <w:textDirection w:val="lrTb"/>
            <w:noWrap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b w:val="0"/>
                <w:bCs w:val="0"/>
                <w:i w:val="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  <w:t xml:space="preserve">Джерел фінансування,тис.грн.</w:t>
            </w:r>
            <w:r>
              <w:rPr>
                <w:rFonts w:ascii="Times New Roman" w:hAnsi="Times New Roman" w:eastAsia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</w:p>
        </w:tc>
      </w:tr>
      <w:tr>
        <w:trPr>
          <w:cantSplit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33" w:type="dxa"/>
            <w:vAlign w:val="top"/>
            <w:vMerge w:val="continue"/>
            <w:textDirection w:val="lrTb"/>
            <w:noWrap/>
          </w:tcPr>
          <w:p>
            <w:pPr>
              <w:pStyle w:val="792"/>
              <w:pBdr/>
              <w:spacing w:after="0" w:line="240" w:lineRule="auto"/>
              <w:ind/>
              <w:rPr/>
            </w:pPr>
            <w:r/>
            <w:r/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96" w:type="dxa"/>
            <w:vAlign w:val="top"/>
            <w:textDirection w:val="lrTb"/>
            <w:noWrap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b w:val="0"/>
                <w:bCs w:val="0"/>
                <w:i w:val="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  <w:t xml:space="preserve">Міський бюджет</w:t>
            </w:r>
            <w:r>
              <w:rPr>
                <w:rFonts w:ascii="Times New Roman" w:hAnsi="Times New Roman" w:eastAsia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06" w:type="dxa"/>
            <w:vAlign w:val="top"/>
            <w:textDirection w:val="lrTb"/>
            <w:noWrap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b w:val="0"/>
                <w:bCs w:val="0"/>
                <w:i w:val="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  <w:t xml:space="preserve">Інші джерела фінансування</w:t>
            </w:r>
            <w:r>
              <w:rPr>
                <w:rFonts w:ascii="Times New Roman" w:hAnsi="Times New Roman" w:eastAsia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20" w:type="dxa"/>
            <w:vAlign w:val="top"/>
            <w:textDirection w:val="lrTb"/>
            <w:noWrap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b w:val="0"/>
                <w:bCs w:val="0"/>
                <w:i w:val="0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  <w:t xml:space="preserve">Всього</w:t>
            </w:r>
            <w:r>
              <w:rPr>
                <w:rFonts w:ascii="Times New Roman" w:hAnsi="Times New Roman" w:eastAsia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  <w:r>
              <w:rPr>
                <w:rFonts w:ascii="Times New Roman" w:hAnsi="Times New Roman" w:eastAsia="Times New Roman"/>
                <w:b w:val="0"/>
                <w:bCs w:val="0"/>
                <w:i w:val="0"/>
                <w:iCs w:val="0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33" w:type="dxa"/>
            <w:vAlign w:val="top"/>
            <w:textDirection w:val="lrTb"/>
            <w:noWrap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 xml:space="preserve">2025 рік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96" w:type="dxa"/>
            <w:vAlign w:val="top"/>
            <w:textDirection w:val="lrTb"/>
            <w:noWrap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 xml:space="preserve">200,00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06" w:type="dxa"/>
            <w:vAlign w:val="top"/>
            <w:textDirection w:val="lrTb"/>
            <w:noWrap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 xml:space="preserve">20,00*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20" w:type="dxa"/>
            <w:vAlign w:val="top"/>
            <w:textDirection w:val="lrTb"/>
            <w:noWrap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 xml:space="preserve">220,00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33" w:type="dxa"/>
            <w:vAlign w:val="top"/>
            <w:textDirection w:val="lrTb"/>
            <w:noWrap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 xml:space="preserve">2026 рік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96" w:type="dxa"/>
            <w:vAlign w:val="top"/>
            <w:textDirection w:val="lrTb"/>
            <w:noWrap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 xml:space="preserve">250,00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06" w:type="dxa"/>
            <w:vAlign w:val="top"/>
            <w:textDirection w:val="lrTb"/>
            <w:noWrap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 xml:space="preserve">20,00*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20" w:type="dxa"/>
            <w:vAlign w:val="top"/>
            <w:textDirection w:val="lrTb"/>
            <w:noWrap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 xml:space="preserve">270,00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33" w:type="dxa"/>
            <w:vAlign w:val="top"/>
            <w:textDirection w:val="lrTb"/>
            <w:noWrap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 xml:space="preserve">2027 рік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96" w:type="dxa"/>
            <w:vAlign w:val="top"/>
            <w:textDirection w:val="lrTb"/>
            <w:noWrap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 xml:space="preserve">300,00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06" w:type="dxa"/>
            <w:vAlign w:val="top"/>
            <w:textDirection w:val="lrTb"/>
            <w:noWrap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 xml:space="preserve">20,00*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20" w:type="dxa"/>
            <w:vAlign w:val="top"/>
            <w:textDirection w:val="lrTb"/>
            <w:noWrap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 xml:space="preserve">320,00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</w:tr>
      <w:tr>
        <w:trPr>
          <w:cantSplit/>
          <w:trHeight w:val="253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33" w:type="dxa"/>
            <w:vAlign w:val="top"/>
            <w:vMerge w:val="restart"/>
            <w:textDirection w:val="lrTb"/>
            <w:noWrap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 xml:space="preserve">Всього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96" w:type="dxa"/>
            <w:vAlign w:val="top"/>
            <w:vMerge w:val="restart"/>
            <w:textDirection w:val="lrTb"/>
            <w:noWrap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 xml:space="preserve">750,00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406" w:type="dxa"/>
            <w:vAlign w:val="top"/>
            <w:vMerge w:val="restart"/>
            <w:textDirection w:val="lrTb"/>
            <w:noWrap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 xml:space="preserve">60,00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20" w:type="dxa"/>
            <w:vAlign w:val="top"/>
            <w:vMerge w:val="restart"/>
            <w:textDirection w:val="lrTb"/>
            <w:noWrap/>
          </w:tcPr>
          <w:p>
            <w:pPr>
              <w:pStyle w:val="792"/>
              <w:pBdr/>
              <w:spacing w:after="0" w:afterAutospacing="0" w:before="0" w:beforeAutospacing="0" w:line="240" w:lineRule="auto"/>
              <w:ind/>
              <w:jc w:val="center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 xml:space="preserve">810,00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</w:tr>
    </w:tbl>
    <w:p>
      <w:pPr>
        <w:pStyle w:val="792"/>
        <w:pBdr/>
        <w:spacing w:after="0" w:afterAutospacing="0" w:before="0" w:beforeAutospacing="0" w:line="240" w:lineRule="auto"/>
        <w:ind w:left="708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* - орієнтовна сума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92"/>
        <w:suppressLineNumbers w:val="false"/>
        <w:pBdr/>
        <w:spacing w:after="0" w:afterAutospacing="0" w:before="0" w:beforeAutospacing="0" w:line="240" w:lineRule="auto"/>
        <w:ind w:firstLine="567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Видалену дер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евину, оплата послуг за видалення якої за Програмою здійснюватиметься за рахунок місцевого бюджету, оприбутковувати в Менську міську раду. Рішення про подальше її використання деревини приймається на засіданні 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виконавчого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комітету Менської  міської ради. 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Начальник відділу житлово-комунального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господарства та комунального майна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792"/>
        <w:pBdr/>
        <w:spacing w:after="0" w:afterAutospacing="0" w:before="0" w:beforeAutospacing="0" w:line="240" w:lineRule="auto"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Менської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міської ради                                                                  Ірина ЄКИМЕНКО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6838" w:orient="portrait" w:w="11906"/>
      <w:pgMar w:top="1134" w:right="567" w:bottom="1134" w:left="1701" w:header="708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0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0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8"/>
      <w:pBdr/>
      <w:spacing/>
      <w:ind/>
      <w:jc w:val="right"/>
      <w:rPr>
        <w:rFonts w:ascii="Times New Roman" w:hAnsi="Times New Roman" w:eastAsia="Times New Roman" w:cs="Times New Roman"/>
        <w:i/>
        <w:sz w:val="24"/>
      </w:rPr>
    </w:pPr>
    <w:r>
      <w:fldChar w:fldCharType="begin"/>
    </w:r>
    <w:r>
      <w:instrText xml:space="preserve">PAGE \* MERGEFORMAT</w:instrText>
    </w:r>
    <w:r>
      <w:fldChar w:fldCharType="separate"/>
    </w:r>
    <w:r>
      <w:rPr>
        <w:rFonts w:ascii="Times New Roman" w:hAnsi="Times New Roman" w:eastAsia="Times New Roman" w:cs="Times New Roman"/>
        <w:i/>
        <w:sz w:val="24"/>
      </w:rPr>
      <w:t xml:space="preserve">2</w:t>
    </w:r>
    <w:r>
      <w:fldChar w:fldCharType="end"/>
    </w:r>
    <w:r>
      <w:rPr>
        <w:rFonts w:ascii="Times New Roman" w:hAnsi="Times New Roman" w:eastAsia="Times New Roman" w:cs="Times New Roman"/>
        <w:i/>
        <w:sz w:val="24"/>
      </w:rPr>
      <w:t xml:space="preserve">                                     продовження додатка</w:t>
    </w:r>
    <w:r>
      <w:rPr>
        <w:rFonts w:ascii="Times New Roman" w:hAnsi="Times New Roman" w:eastAsia="Times New Roman" w:cs="Times New Roman"/>
        <w:i/>
        <w:sz w:val="24"/>
      </w:rPr>
    </w:r>
    <w:r>
      <w:rPr>
        <w:rFonts w:ascii="Times New Roman" w:hAnsi="Times New Roman" w:eastAsia="Times New Roman" w:cs="Times New Roman"/>
        <w:i/>
        <w:sz w:val="24"/>
      </w:rPr>
    </w:r>
  </w:p>
  <w:p>
    <w:pPr>
      <w:pStyle w:val="858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8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o"/>
      <w:numFmt w:val="bullet"/>
      <w:pPr>
        <w:pBdr/>
        <w:spacing/>
        <w:ind w:hanging="358" w:left="709"/>
      </w:pPr>
      <w:rPr>
        <w:rFonts w:ascii="Courier New" w:hAnsi="Courier New" w:eastAsia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8" w:left="1429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58" w:left="2149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58" w:left="2869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8" w:left="3589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58" w:left="4309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58" w:left="5029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8" w:left="5749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58" w:left="6469"/>
      </w:pPr>
      <w:rPr>
        <w:rFonts w:ascii="Wingdings" w:hAnsi="Wingdings" w:eastAsia="Wingdings"/>
      </w:rPr>
      <w:start w:val="1"/>
      <w:suff w:val="tab"/>
    </w:lvl>
  </w:abstractNum>
  <w:abstractNum w:abstractNumId="1">
    <w:lvl w:ilvl="0">
      <w:isLgl w:val="false"/>
      <w:lvlJc w:val="left"/>
      <w:lvlText w:val="–"/>
      <w:numFmt w:val="bullet"/>
      <w:pPr>
        <w:pBdr/>
        <w:spacing/>
        <w:ind w:hanging="360" w:left="720"/>
      </w:pPr>
      <w:rPr>
        <w:rFonts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–"/>
      <w:numFmt w:val="bullet"/>
      <w:pPr>
        <w:pBdr/>
        <w:spacing/>
        <w:ind w:hanging="360" w:left="720"/>
      </w:pPr>
      <w:rPr>
        <w:rFonts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4">
    <w:lvl w:ilvl="0">
      <w:isLgl w:val="false"/>
      <w:lvlJc w:val="left"/>
      <w:lvlText w:val="o"/>
      <w:numFmt w:val="bullet"/>
      <w:pPr>
        <w:pBdr/>
        <w:spacing/>
        <w:ind w:hanging="358" w:left="709"/>
      </w:pPr>
      <w:rPr>
        <w:rFonts w:ascii="Courier New" w:hAnsi="Courier New" w:eastAsia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8" w:left="1429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58" w:left="2149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58" w:left="2869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8" w:left="3589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58" w:left="4309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58" w:left="5029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8" w:left="5749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58" w:left="6469"/>
      </w:pPr>
      <w:rPr>
        <w:rFonts w:ascii="Wingdings" w:hAnsi="Wingdings" w:eastAsia="Wingdings"/>
      </w:rPr>
      <w:start w:val="1"/>
      <w:suff w:val="tab"/>
    </w:lvl>
  </w:abstractNum>
  <w:abstractNum w:abstractNumId="5">
    <w:lvl w:ilvl="0">
      <w:isLgl w:val="false"/>
      <w:lvlJc w:val="left"/>
      <w:lvlText w:val="–"/>
      <w:numFmt w:val="bullet"/>
      <w:pPr>
        <w:pBdr/>
        <w:spacing/>
        <w:ind w:hanging="360" w:left="720"/>
      </w:pPr>
      <w:rPr>
        <w:rFonts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1069"/>
      </w:pPr>
      <w:rPr>
        <w:rFonts w:ascii="Times New Roman" w:hAnsi="Times New Roman" w:eastAsia="Times New Roman" w:cs="Times New Roman"/>
        <w:color w:val="00000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9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9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9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9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9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9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9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9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–"/>
      <w:numFmt w:val="bullet"/>
      <w:pPr>
        <w:pBdr/>
        <w:spacing/>
        <w:ind w:hanging="360" w:left="720"/>
      </w:pPr>
      <w:rPr>
        <w:rFonts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8">
    <w:lvl w:ilvl="0">
      <w:isLgl w:val="false"/>
      <w:lvlJc w:val="left"/>
      <w:lvlText w:val="o"/>
      <w:numFmt w:val="bullet"/>
      <w:pPr>
        <w:pBdr/>
        <w:spacing/>
        <w:ind w:hanging="358" w:left="709"/>
      </w:pPr>
      <w:rPr>
        <w:rFonts w:ascii="Courier New" w:hAnsi="Courier New" w:eastAsia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8" w:left="1429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58" w:left="2149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58" w:left="2869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8" w:left="3589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58" w:left="4309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58" w:left="5029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8" w:left="5749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58" w:left="6469"/>
      </w:pPr>
      <w:rPr>
        <w:rFonts w:ascii="Wingdings" w:hAnsi="Wingdings" w:eastAsia="Wingdings"/>
      </w:rPr>
      <w:start w:val="1"/>
      <w:suff w:val="tab"/>
    </w:lvl>
  </w:abstractNum>
  <w:abstractNum w:abstractNumId="9">
    <w:lvl w:ilvl="0">
      <w:isLgl w:val="false"/>
      <w:lvlJc w:val="left"/>
      <w:lvlText w:val="–"/>
      <w:numFmt w:val="bullet"/>
      <w:pPr>
        <w:pBdr/>
        <w:spacing/>
        <w:ind w:hanging="360" w:left="720"/>
      </w:pPr>
      <w:rPr>
        <w:rFonts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10">
    <w:lvl w:ilvl="0">
      <w:isLgl w:val="false"/>
      <w:lvlJc w:val="left"/>
      <w:lvlText w:val="–"/>
      <w:numFmt w:val="bullet"/>
      <w:pPr>
        <w:pBdr/>
        <w:spacing/>
        <w:ind w:hanging="360" w:left="720"/>
      </w:pPr>
      <w:rPr>
        <w:rFonts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11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11"/>
  </w:num>
  <w:num w:numId="2">
    <w:abstractNumId w:val="6"/>
  </w:num>
  <w:num w:numId="3">
    <w:abstractNumId w:val="4"/>
  </w:num>
  <w:num w:numId="4">
    <w:abstractNumId w:val="8"/>
  </w:num>
  <w:num w:numId="5">
    <w:abstractNumId w:val="0"/>
  </w:num>
  <w:num w:numId="6">
    <w:abstractNumId w:val="1"/>
  </w:num>
  <w:num w:numId="7">
    <w:abstractNumId w:val="10"/>
  </w:num>
  <w:num w:numId="8">
    <w:abstractNumId w:val="9"/>
  </w:num>
  <w:num w:numId="9">
    <w:abstractNumId w:val="5"/>
  </w:num>
  <w:num w:numId="10">
    <w:abstractNumId w:val="3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Table Grid"/>
    <w:basedOn w:val="74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43">
    <w:name w:val="Heading 1"/>
    <w:basedOn w:val="792"/>
    <w:next w:val="792"/>
    <w:link w:val="75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44">
    <w:name w:val="Heading 2"/>
    <w:basedOn w:val="792"/>
    <w:next w:val="792"/>
    <w:link w:val="75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45">
    <w:name w:val="Heading 3"/>
    <w:basedOn w:val="792"/>
    <w:next w:val="792"/>
    <w:link w:val="75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46">
    <w:name w:val="Heading 4"/>
    <w:basedOn w:val="792"/>
    <w:next w:val="792"/>
    <w:link w:val="75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47">
    <w:name w:val="Heading 5"/>
    <w:basedOn w:val="792"/>
    <w:next w:val="792"/>
    <w:link w:val="75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48">
    <w:name w:val="Heading 6"/>
    <w:basedOn w:val="792"/>
    <w:next w:val="792"/>
    <w:link w:val="75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49">
    <w:name w:val="Heading 7"/>
    <w:basedOn w:val="792"/>
    <w:next w:val="792"/>
    <w:link w:val="76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50">
    <w:name w:val="Heading 8"/>
    <w:basedOn w:val="792"/>
    <w:next w:val="792"/>
    <w:link w:val="76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51">
    <w:name w:val="Heading 9"/>
    <w:basedOn w:val="792"/>
    <w:next w:val="792"/>
    <w:link w:val="76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52" w:default="1">
    <w:name w:val="Default Paragraph Font"/>
    <w:uiPriority w:val="1"/>
    <w:semiHidden/>
    <w:unhideWhenUsed/>
    <w:pPr>
      <w:pBdr/>
      <w:spacing/>
      <w:ind/>
    </w:pPr>
  </w:style>
  <w:style w:type="numbering" w:styleId="753" w:default="1">
    <w:name w:val="No List"/>
    <w:uiPriority w:val="99"/>
    <w:semiHidden/>
    <w:unhideWhenUsed/>
    <w:pPr>
      <w:pBdr/>
      <w:spacing/>
      <w:ind/>
    </w:pPr>
  </w:style>
  <w:style w:type="character" w:styleId="754">
    <w:name w:val="Heading 1 Char"/>
    <w:basedOn w:val="752"/>
    <w:link w:val="7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55">
    <w:name w:val="Heading 2 Char"/>
    <w:basedOn w:val="752"/>
    <w:link w:val="74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56">
    <w:name w:val="Heading 3 Char"/>
    <w:basedOn w:val="752"/>
    <w:link w:val="74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57">
    <w:name w:val="Heading 4 Char"/>
    <w:basedOn w:val="752"/>
    <w:link w:val="74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58">
    <w:name w:val="Heading 5 Char"/>
    <w:basedOn w:val="752"/>
    <w:link w:val="74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59">
    <w:name w:val="Heading 6 Char"/>
    <w:basedOn w:val="752"/>
    <w:link w:val="74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60">
    <w:name w:val="Heading 7 Char"/>
    <w:basedOn w:val="752"/>
    <w:link w:val="74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61">
    <w:name w:val="Heading 8 Char"/>
    <w:basedOn w:val="752"/>
    <w:link w:val="75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62">
    <w:name w:val="Heading 9 Char"/>
    <w:basedOn w:val="752"/>
    <w:link w:val="75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63">
    <w:name w:val="Title"/>
    <w:basedOn w:val="792"/>
    <w:next w:val="792"/>
    <w:link w:val="83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64">
    <w:name w:val="Subtitle"/>
    <w:basedOn w:val="792"/>
    <w:next w:val="792"/>
    <w:link w:val="834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65">
    <w:name w:val="Quote"/>
    <w:basedOn w:val="792"/>
    <w:next w:val="792"/>
    <w:link w:val="766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766">
    <w:name w:val="Quote Char"/>
    <w:basedOn w:val="752"/>
    <w:link w:val="765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767">
    <w:name w:val="List Paragraph"/>
    <w:basedOn w:val="792"/>
    <w:uiPriority w:val="34"/>
    <w:qFormat/>
    <w:pPr>
      <w:pBdr/>
      <w:spacing/>
      <w:ind w:left="720"/>
      <w:contextualSpacing w:val="true"/>
    </w:pPr>
  </w:style>
  <w:style w:type="character" w:styleId="768">
    <w:name w:val="Intense Emphasis"/>
    <w:basedOn w:val="75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69">
    <w:name w:val="Intense Quote"/>
    <w:basedOn w:val="792"/>
    <w:next w:val="792"/>
    <w:link w:val="770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70">
    <w:name w:val="Intense Quote Char"/>
    <w:basedOn w:val="752"/>
    <w:link w:val="769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71">
    <w:name w:val="Intense Reference"/>
    <w:basedOn w:val="75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72">
    <w:name w:val="No Spacing"/>
    <w:basedOn w:val="792"/>
    <w:uiPriority w:val="1"/>
    <w:qFormat/>
    <w:pPr>
      <w:pBdr/>
      <w:spacing w:after="0" w:line="240" w:lineRule="auto"/>
      <w:ind/>
    </w:pPr>
  </w:style>
  <w:style w:type="character" w:styleId="773">
    <w:name w:val="Subtle Emphasis"/>
    <w:basedOn w:val="75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74">
    <w:name w:val="Emphasis"/>
    <w:basedOn w:val="752"/>
    <w:uiPriority w:val="20"/>
    <w:qFormat/>
    <w:pPr>
      <w:pBdr/>
      <w:spacing/>
      <w:ind/>
    </w:pPr>
    <w:rPr>
      <w:i/>
      <w:iCs/>
    </w:rPr>
  </w:style>
  <w:style w:type="character" w:styleId="775">
    <w:name w:val="Strong"/>
    <w:basedOn w:val="752"/>
    <w:uiPriority w:val="22"/>
    <w:qFormat/>
    <w:pPr>
      <w:pBdr/>
      <w:spacing/>
      <w:ind/>
    </w:pPr>
    <w:rPr>
      <w:b/>
      <w:bCs/>
    </w:rPr>
  </w:style>
  <w:style w:type="character" w:styleId="776">
    <w:name w:val="Subtle Reference"/>
    <w:basedOn w:val="75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77">
    <w:name w:val="Book Title"/>
    <w:basedOn w:val="75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78">
    <w:name w:val="Header"/>
    <w:basedOn w:val="792"/>
    <w:link w:val="85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9">
    <w:name w:val="Footer"/>
    <w:basedOn w:val="792"/>
    <w:link w:val="78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780">
    <w:name w:val="Footer Char"/>
    <w:basedOn w:val="752"/>
    <w:link w:val="779"/>
    <w:uiPriority w:val="99"/>
    <w:pPr>
      <w:pBdr/>
      <w:spacing/>
      <w:ind/>
    </w:pPr>
  </w:style>
  <w:style w:type="paragraph" w:styleId="781">
    <w:name w:val="Caption"/>
    <w:basedOn w:val="792"/>
    <w:next w:val="79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82">
    <w:name w:val="footnote text"/>
    <w:basedOn w:val="792"/>
    <w:link w:val="78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3">
    <w:name w:val="Footnote Text Char"/>
    <w:basedOn w:val="752"/>
    <w:link w:val="782"/>
    <w:uiPriority w:val="99"/>
    <w:semiHidden/>
    <w:pPr>
      <w:pBdr/>
      <w:spacing/>
      <w:ind/>
    </w:pPr>
    <w:rPr>
      <w:sz w:val="20"/>
      <w:szCs w:val="20"/>
    </w:rPr>
  </w:style>
  <w:style w:type="character" w:styleId="784">
    <w:name w:val="footnote reference"/>
    <w:basedOn w:val="752"/>
    <w:uiPriority w:val="99"/>
    <w:semiHidden/>
    <w:unhideWhenUsed/>
    <w:pPr>
      <w:pBdr/>
      <w:spacing/>
      <w:ind/>
    </w:pPr>
    <w:rPr>
      <w:vertAlign w:val="superscript"/>
    </w:rPr>
  </w:style>
  <w:style w:type="paragraph" w:styleId="785">
    <w:name w:val="endnote text"/>
    <w:basedOn w:val="792"/>
    <w:link w:val="78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6">
    <w:name w:val="Endnote Text Char"/>
    <w:basedOn w:val="752"/>
    <w:link w:val="785"/>
    <w:uiPriority w:val="99"/>
    <w:semiHidden/>
    <w:pPr>
      <w:pBdr/>
      <w:spacing/>
      <w:ind/>
    </w:pPr>
    <w:rPr>
      <w:sz w:val="20"/>
      <w:szCs w:val="20"/>
    </w:rPr>
  </w:style>
  <w:style w:type="character" w:styleId="787">
    <w:name w:val="endnote reference"/>
    <w:basedOn w:val="752"/>
    <w:uiPriority w:val="99"/>
    <w:semiHidden/>
    <w:unhideWhenUsed/>
    <w:pPr>
      <w:pBdr/>
      <w:spacing/>
      <w:ind/>
    </w:pPr>
    <w:rPr>
      <w:vertAlign w:val="superscript"/>
    </w:rPr>
  </w:style>
  <w:style w:type="character" w:styleId="788">
    <w:name w:val="Hyperlink"/>
    <w:basedOn w:val="75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89">
    <w:name w:val="FollowedHyperlink"/>
    <w:basedOn w:val="75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90">
    <w:name w:val="TOC Heading"/>
    <w:uiPriority w:val="39"/>
    <w:unhideWhenUsed/>
    <w:pPr>
      <w:pBdr/>
      <w:spacing/>
      <w:ind/>
    </w:pPr>
  </w:style>
  <w:style w:type="paragraph" w:styleId="791">
    <w:name w:val="table of figures"/>
    <w:basedOn w:val="792"/>
    <w:next w:val="792"/>
    <w:uiPriority w:val="99"/>
    <w:unhideWhenUsed/>
    <w:pPr>
      <w:pBdr/>
      <w:spacing w:after="0" w:afterAutospacing="0"/>
      <w:ind/>
    </w:pPr>
  </w:style>
  <w:style w:type="paragraph" w:styleId="792" w:default="1">
    <w:name w:val="Normal"/>
    <w:next w:val="792"/>
    <w:link w:val="79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line="276" w:lineRule="auto"/>
      <w:ind/>
    </w:pPr>
    <w:rPr>
      <w:sz w:val="22"/>
      <w:szCs w:val="22"/>
      <w:lang w:val="uk-UA" w:eastAsia="en-US" w:bidi="ar-SA"/>
    </w:rPr>
  </w:style>
  <w:style w:type="paragraph" w:styleId="793">
    <w:name w:val="Заголовок 1"/>
    <w:basedOn w:val="792"/>
    <w:next w:val="792"/>
    <w:link w:val="840"/>
    <w:uiPriority w:val="9"/>
    <w:qFormat/>
    <w:pPr>
      <w:keepNext w:val="true"/>
      <w:keepLines w:val="true"/>
      <w:pBdr/>
      <w:spacing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94">
    <w:name w:val="Заголовок 2"/>
    <w:basedOn w:val="792"/>
    <w:next w:val="792"/>
    <w:link w:val="841"/>
    <w:uiPriority w:val="9"/>
    <w:unhideWhenUsed/>
    <w:qFormat/>
    <w:pPr>
      <w:keepNext w:val="true"/>
      <w:keepLines w:val="true"/>
      <w:pBdr/>
      <w:spacing w:before="360"/>
      <w:ind/>
      <w:outlineLvl w:val="1"/>
    </w:pPr>
    <w:rPr>
      <w:rFonts w:ascii="Arial" w:hAnsi="Arial" w:eastAsia="Arial" w:cs="Arial"/>
      <w:sz w:val="34"/>
    </w:rPr>
  </w:style>
  <w:style w:type="paragraph" w:styleId="795">
    <w:name w:val="Заголовок 3"/>
    <w:basedOn w:val="792"/>
    <w:next w:val="792"/>
    <w:link w:val="842"/>
    <w:uiPriority w:val="9"/>
    <w:unhideWhenUsed/>
    <w:qFormat/>
    <w:pPr>
      <w:keepNext w:val="true"/>
      <w:keepLines w:val="true"/>
      <w:pBdr/>
      <w:spacing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96">
    <w:name w:val="Заголовок 4"/>
    <w:basedOn w:val="792"/>
    <w:next w:val="792"/>
    <w:link w:val="843"/>
    <w:uiPriority w:val="9"/>
    <w:unhideWhenUsed/>
    <w:qFormat/>
    <w:pPr>
      <w:keepNext w:val="true"/>
      <w:keepLines w:val="true"/>
      <w:pBdr/>
      <w:spacing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97">
    <w:name w:val="Заголовок 5"/>
    <w:basedOn w:val="792"/>
    <w:next w:val="792"/>
    <w:link w:val="844"/>
    <w:uiPriority w:val="9"/>
    <w:unhideWhenUsed/>
    <w:qFormat/>
    <w:pPr>
      <w:keepNext w:val="true"/>
      <w:keepLines w:val="true"/>
      <w:pBdr/>
      <w:spacing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98">
    <w:name w:val="Заголовок 6"/>
    <w:basedOn w:val="792"/>
    <w:next w:val="792"/>
    <w:link w:val="845"/>
    <w:uiPriority w:val="9"/>
    <w:unhideWhenUsed/>
    <w:qFormat/>
    <w:pPr>
      <w:keepNext w:val="true"/>
      <w:keepLines w:val="true"/>
      <w:pBdr/>
      <w:spacing w:before="320"/>
      <w:ind/>
      <w:outlineLvl w:val="5"/>
    </w:pPr>
    <w:rPr>
      <w:rFonts w:ascii="Arial" w:hAnsi="Arial" w:eastAsia="Arial" w:cs="Arial"/>
      <w:b/>
      <w:bCs/>
    </w:rPr>
  </w:style>
  <w:style w:type="paragraph" w:styleId="799">
    <w:name w:val="Заголовок 7"/>
    <w:basedOn w:val="792"/>
    <w:next w:val="792"/>
    <w:link w:val="846"/>
    <w:uiPriority w:val="9"/>
    <w:unhideWhenUsed/>
    <w:qFormat/>
    <w:pPr>
      <w:keepNext w:val="true"/>
      <w:keepLines w:val="true"/>
      <w:pBdr/>
      <w:spacing w:before="320"/>
      <w:ind/>
      <w:outlineLvl w:val="6"/>
    </w:pPr>
    <w:rPr>
      <w:rFonts w:ascii="Arial" w:hAnsi="Arial" w:eastAsia="Arial" w:cs="Arial"/>
      <w:b/>
      <w:bCs/>
      <w:i/>
      <w:iCs/>
    </w:rPr>
  </w:style>
  <w:style w:type="paragraph" w:styleId="800">
    <w:name w:val="Заголовок 8"/>
    <w:basedOn w:val="792"/>
    <w:next w:val="792"/>
    <w:link w:val="847"/>
    <w:uiPriority w:val="9"/>
    <w:unhideWhenUsed/>
    <w:qFormat/>
    <w:pPr>
      <w:keepNext w:val="true"/>
      <w:keepLines w:val="true"/>
      <w:pBdr/>
      <w:spacing w:before="320"/>
      <w:ind/>
      <w:outlineLvl w:val="7"/>
    </w:pPr>
    <w:rPr>
      <w:rFonts w:ascii="Arial" w:hAnsi="Arial" w:eastAsia="Arial" w:cs="Arial"/>
      <w:i/>
      <w:iCs/>
    </w:rPr>
  </w:style>
  <w:style w:type="paragraph" w:styleId="801">
    <w:name w:val="Заголовок 9"/>
    <w:basedOn w:val="792"/>
    <w:next w:val="792"/>
    <w:link w:val="848"/>
    <w:uiPriority w:val="9"/>
    <w:unhideWhenUsed/>
    <w:qFormat/>
    <w:pPr>
      <w:keepNext w:val="true"/>
      <w:keepLines w:val="true"/>
      <w:pBdr/>
      <w:spacing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02">
    <w:name w:val="Основной шрифт абзаца"/>
    <w:next w:val="802"/>
    <w:link w:val="792"/>
    <w:uiPriority w:val="1"/>
    <w:semiHidden/>
    <w:unhideWhenUsed/>
    <w:pPr>
      <w:pBdr/>
      <w:spacing/>
      <w:ind/>
    </w:pPr>
  </w:style>
  <w:style w:type="table" w:styleId="803">
    <w:name w:val="Обычная таблица"/>
    <w:next w:val="803"/>
    <w:link w:val="792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4">
    <w:name w:val="Нет списка"/>
    <w:next w:val="804"/>
    <w:link w:val="792"/>
    <w:uiPriority w:val="99"/>
    <w:semiHidden/>
    <w:unhideWhenUsed/>
    <w:pPr>
      <w:pBdr/>
      <w:spacing/>
      <w:ind/>
    </w:pPr>
  </w:style>
  <w:style w:type="table" w:styleId="805">
    <w:name w:val="Сетка таблицы"/>
    <w:basedOn w:val="803"/>
    <w:next w:val="805"/>
    <w:link w:val="792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06">
    <w:name w:val="Название"/>
    <w:basedOn w:val="792"/>
    <w:next w:val="792"/>
    <w:link w:val="79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807">
    <w:name w:val="Подзаголовок"/>
    <w:basedOn w:val="792"/>
    <w:next w:val="792"/>
    <w:link w:val="792"/>
    <w:uiPriority w:val="11"/>
    <w:qFormat/>
    <w:pPr>
      <w:numPr>
        <w:ilvl w:val="1"/>
      </w:numPr>
      <w:pBdr/>
      <w:spacing/>
      <w:ind/>
    </w:pPr>
    <w:rPr>
      <w:color w:val="595959"/>
      <w:spacing w:val="15"/>
      <w:sz w:val="28"/>
      <w:szCs w:val="28"/>
    </w:rPr>
  </w:style>
  <w:style w:type="paragraph" w:styleId="808">
    <w:name w:val="Цитата 2"/>
    <w:basedOn w:val="792"/>
    <w:next w:val="792"/>
    <w:link w:val="835"/>
    <w:uiPriority w:val="29"/>
    <w:qFormat/>
    <w:pPr>
      <w:pBdr/>
      <w:spacing w:before="160"/>
      <w:ind/>
      <w:jc w:val="center"/>
    </w:pPr>
    <w:rPr>
      <w:rFonts w:cs="Times New Roman"/>
      <w:i/>
      <w:sz w:val="20"/>
      <w:szCs w:val="20"/>
      <w:lang w:val="en-US" w:eastAsia="en-US"/>
    </w:rPr>
  </w:style>
  <w:style w:type="paragraph" w:styleId="809">
    <w:name w:val="Абзац списка"/>
    <w:basedOn w:val="792"/>
    <w:next w:val="809"/>
    <w:link w:val="792"/>
    <w:uiPriority w:val="34"/>
    <w:qFormat/>
    <w:pPr>
      <w:pBdr/>
      <w:spacing/>
      <w:ind w:left="720"/>
      <w:contextualSpacing w:val="true"/>
    </w:pPr>
  </w:style>
  <w:style w:type="character" w:styleId="810">
    <w:name w:val="Сильное выделение"/>
    <w:basedOn w:val="802"/>
    <w:next w:val="810"/>
    <w:link w:val="792"/>
    <w:uiPriority w:val="21"/>
    <w:qFormat/>
    <w:pPr>
      <w:pBdr/>
      <w:spacing/>
      <w:ind/>
    </w:pPr>
    <w:rPr>
      <w:i/>
      <w:iCs/>
      <w:color w:val="365f91"/>
    </w:rPr>
  </w:style>
  <w:style w:type="paragraph" w:styleId="811">
    <w:name w:val="Выделенная цитата"/>
    <w:basedOn w:val="792"/>
    <w:next w:val="792"/>
    <w:link w:val="836"/>
    <w:uiPriority w:val="30"/>
    <w:qFormat/>
    <w:pPr>
      <w:pBdr>
        <w:top w:val="single" w:color="915f36" w:sz="4" w:space="10"/>
        <w:bottom w:val="single" w:color="915f36" w:sz="4" w:space="10"/>
      </w:pBdr>
      <w:spacing w:after="360" w:before="360"/>
      <w:ind w:right="864" w:left="864"/>
      <w:jc w:val="center"/>
    </w:pPr>
    <w:rPr>
      <w:rFonts w:cs="Times New Roman"/>
      <w:i/>
      <w:sz w:val="20"/>
      <w:szCs w:val="20"/>
      <w:lang w:val="en-US" w:eastAsia="en-US"/>
    </w:rPr>
  </w:style>
  <w:style w:type="character" w:styleId="812">
    <w:name w:val="Сильная ссылка"/>
    <w:basedOn w:val="802"/>
    <w:next w:val="812"/>
    <w:link w:val="792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813">
    <w:name w:val="Без интервала"/>
    <w:basedOn w:val="792"/>
    <w:next w:val="813"/>
    <w:link w:val="792"/>
    <w:uiPriority w:val="1"/>
    <w:qFormat/>
    <w:pPr>
      <w:pBdr/>
      <w:spacing w:after="0" w:line="240" w:lineRule="auto"/>
      <w:ind/>
    </w:pPr>
  </w:style>
  <w:style w:type="character" w:styleId="814">
    <w:name w:val="Слабое выделение"/>
    <w:basedOn w:val="802"/>
    <w:next w:val="814"/>
    <w:link w:val="792"/>
    <w:uiPriority w:val="19"/>
    <w:qFormat/>
    <w:pPr>
      <w:pBdr/>
      <w:spacing/>
      <w:ind/>
    </w:pPr>
    <w:rPr>
      <w:i/>
      <w:iCs/>
      <w:color w:val="404040"/>
    </w:rPr>
  </w:style>
  <w:style w:type="character" w:styleId="815">
    <w:name w:val="Выделение"/>
    <w:basedOn w:val="802"/>
    <w:next w:val="815"/>
    <w:link w:val="792"/>
    <w:uiPriority w:val="20"/>
    <w:qFormat/>
    <w:pPr>
      <w:pBdr/>
      <w:spacing/>
      <w:ind/>
    </w:pPr>
    <w:rPr>
      <w:i/>
      <w:iCs/>
    </w:rPr>
  </w:style>
  <w:style w:type="character" w:styleId="816">
    <w:name w:val="Строгий"/>
    <w:basedOn w:val="802"/>
    <w:next w:val="816"/>
    <w:link w:val="792"/>
    <w:uiPriority w:val="22"/>
    <w:qFormat/>
    <w:pPr>
      <w:pBdr/>
      <w:spacing/>
      <w:ind/>
    </w:pPr>
    <w:rPr>
      <w:b/>
      <w:bCs/>
    </w:rPr>
  </w:style>
  <w:style w:type="character" w:styleId="817">
    <w:name w:val="Слабая ссылка"/>
    <w:basedOn w:val="802"/>
    <w:next w:val="817"/>
    <w:link w:val="792"/>
    <w:uiPriority w:val="31"/>
    <w:qFormat/>
    <w:pPr>
      <w:pBdr/>
      <w:spacing/>
      <w:ind/>
    </w:pPr>
    <w:rPr>
      <w:smallCaps/>
      <w:color w:val="5a5a5a"/>
    </w:rPr>
  </w:style>
  <w:style w:type="character" w:styleId="818">
    <w:name w:val="Название книги"/>
    <w:basedOn w:val="802"/>
    <w:next w:val="818"/>
    <w:link w:val="79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19">
    <w:name w:val="Верхний колонтитул"/>
    <w:basedOn w:val="792"/>
    <w:next w:val="819"/>
    <w:link w:val="79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20">
    <w:name w:val="Нижний колонтитул"/>
    <w:basedOn w:val="792"/>
    <w:next w:val="820"/>
    <w:link w:val="86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21">
    <w:name w:val="Название объекта"/>
    <w:basedOn w:val="792"/>
    <w:next w:val="792"/>
    <w:link w:val="792"/>
    <w:uiPriority w:val="35"/>
    <w:unhideWhenUsed/>
    <w:qFormat/>
    <w:pPr>
      <w:pBdr/>
      <w:spacing w:line="240" w:lineRule="auto"/>
      <w:ind/>
    </w:pPr>
    <w:rPr>
      <w:i/>
      <w:iCs/>
      <w:color w:val="1f497d"/>
      <w:sz w:val="18"/>
      <w:szCs w:val="18"/>
    </w:rPr>
  </w:style>
  <w:style w:type="paragraph" w:styleId="822">
    <w:name w:val="Текст сноски"/>
    <w:basedOn w:val="792"/>
    <w:next w:val="822"/>
    <w:link w:val="837"/>
    <w:uiPriority w:val="99"/>
    <w:semiHidden/>
    <w:unhideWhenUsed/>
    <w:pPr>
      <w:pBdr/>
      <w:spacing w:after="0" w:line="240" w:lineRule="auto"/>
      <w:ind/>
    </w:pPr>
    <w:rPr>
      <w:rFonts w:cs="Times New Roman"/>
      <w:sz w:val="18"/>
      <w:szCs w:val="20"/>
      <w:lang w:val="en-US" w:eastAsia="en-US"/>
    </w:rPr>
  </w:style>
  <w:style w:type="character" w:styleId="823">
    <w:name w:val="Знак сноски"/>
    <w:basedOn w:val="802"/>
    <w:next w:val="823"/>
    <w:link w:val="792"/>
    <w:uiPriority w:val="99"/>
    <w:semiHidden/>
    <w:unhideWhenUsed/>
    <w:pPr>
      <w:pBdr/>
      <w:spacing/>
      <w:ind/>
    </w:pPr>
    <w:rPr>
      <w:vertAlign w:val="superscript"/>
    </w:rPr>
  </w:style>
  <w:style w:type="paragraph" w:styleId="824">
    <w:name w:val="Текст концевой сноски"/>
    <w:basedOn w:val="792"/>
    <w:next w:val="824"/>
    <w:link w:val="838"/>
    <w:uiPriority w:val="99"/>
    <w:semiHidden/>
    <w:unhideWhenUsed/>
    <w:pPr>
      <w:pBdr/>
      <w:spacing w:after="0" w:line="240" w:lineRule="auto"/>
      <w:ind/>
    </w:pPr>
    <w:rPr>
      <w:rFonts w:cs="Times New Roman"/>
      <w:sz w:val="20"/>
      <w:szCs w:val="20"/>
      <w:lang w:val="en-US" w:eastAsia="en-US"/>
    </w:rPr>
  </w:style>
  <w:style w:type="character" w:styleId="825">
    <w:name w:val="Знак концевой сноски"/>
    <w:basedOn w:val="802"/>
    <w:next w:val="825"/>
    <w:link w:val="792"/>
    <w:uiPriority w:val="99"/>
    <w:semiHidden/>
    <w:unhideWhenUsed/>
    <w:pPr>
      <w:pBdr/>
      <w:spacing/>
      <w:ind/>
    </w:pPr>
    <w:rPr>
      <w:vertAlign w:val="superscript"/>
    </w:rPr>
  </w:style>
  <w:style w:type="character" w:styleId="826">
    <w:name w:val="Гиперссылка"/>
    <w:basedOn w:val="802"/>
    <w:next w:val="826"/>
    <w:link w:val="792"/>
    <w:uiPriority w:val="99"/>
    <w:unhideWhenUsed/>
    <w:pPr>
      <w:pBdr/>
      <w:spacing/>
      <w:ind/>
    </w:pPr>
    <w:rPr>
      <w:color w:val="0000ff"/>
      <w:u w:val="single"/>
    </w:rPr>
  </w:style>
  <w:style w:type="character" w:styleId="827">
    <w:name w:val="Просмотренная гиперссылка"/>
    <w:basedOn w:val="802"/>
    <w:next w:val="827"/>
    <w:link w:val="792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28">
    <w:name w:val="Заголовок оглавления"/>
    <w:next w:val="828"/>
    <w:link w:val="792"/>
    <w:uiPriority w:val="39"/>
    <w:unhideWhenUsed/>
    <w:pPr>
      <w:pBdr/>
      <w:spacing/>
      <w:ind/>
    </w:pPr>
    <w:rPr>
      <w:lang w:val="ru-RU" w:eastAsia="zh-CN" w:bidi="ar-SA"/>
    </w:rPr>
  </w:style>
  <w:style w:type="paragraph" w:styleId="829">
    <w:name w:val="Перечень рисунков"/>
    <w:basedOn w:val="792"/>
    <w:next w:val="792"/>
    <w:link w:val="792"/>
    <w:uiPriority w:val="99"/>
    <w:unhideWhenUsed/>
    <w:pPr>
      <w:pBdr/>
      <w:spacing w:after="0"/>
      <w:ind/>
    </w:pPr>
  </w:style>
  <w:style w:type="character" w:styleId="830">
    <w:name w:val="Основной шрифт абзаца1"/>
    <w:next w:val="830"/>
    <w:link w:val="792"/>
    <w:uiPriority w:val="1"/>
    <w:semiHidden/>
    <w:unhideWhenUsed/>
    <w:pPr>
      <w:pBdr/>
      <w:spacing/>
      <w:ind/>
    </w:pPr>
  </w:style>
  <w:style w:type="table" w:styleId="831">
    <w:name w:val="Обычная таблица1"/>
    <w:next w:val="831"/>
    <w:link w:val="792"/>
    <w:uiPriority w:val="99"/>
    <w:semiHidden/>
    <w:unhideWhenUsed/>
    <w:qFormat/>
    <w:pPr>
      <w:pBdr/>
      <w:spacing/>
      <w:ind/>
    </w:pPr>
    <w:rPr>
      <w:lang w:val="ru-RU" w:eastAsia="zh-CN" w:bidi="ar-SA"/>
    </w:r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32">
    <w:name w:val="Нет списка1"/>
    <w:next w:val="832"/>
    <w:link w:val="792"/>
    <w:uiPriority w:val="99"/>
    <w:semiHidden/>
    <w:unhideWhenUsed/>
    <w:pPr>
      <w:pBdr/>
      <w:spacing/>
      <w:ind/>
    </w:pPr>
  </w:style>
  <w:style w:type="character" w:styleId="833">
    <w:name w:val="Title Char"/>
    <w:basedOn w:val="830"/>
    <w:next w:val="833"/>
    <w:link w:val="792"/>
    <w:uiPriority w:val="10"/>
    <w:pPr>
      <w:pBdr/>
      <w:spacing/>
      <w:ind/>
    </w:pPr>
    <w:rPr>
      <w:sz w:val="48"/>
      <w:szCs w:val="48"/>
    </w:rPr>
  </w:style>
  <w:style w:type="character" w:styleId="834">
    <w:name w:val="Subtitle Char"/>
    <w:basedOn w:val="830"/>
    <w:next w:val="834"/>
    <w:link w:val="792"/>
    <w:uiPriority w:val="11"/>
    <w:pPr>
      <w:pBdr/>
      <w:spacing/>
      <w:ind/>
    </w:pPr>
    <w:rPr>
      <w:sz w:val="24"/>
      <w:szCs w:val="24"/>
    </w:rPr>
  </w:style>
  <w:style w:type="character" w:styleId="835">
    <w:name w:val="Цитата 2 Знак1"/>
    <w:next w:val="835"/>
    <w:link w:val="808"/>
    <w:uiPriority w:val="29"/>
    <w:pPr>
      <w:pBdr/>
      <w:spacing/>
      <w:ind/>
    </w:pPr>
    <w:rPr>
      <w:i/>
    </w:rPr>
  </w:style>
  <w:style w:type="character" w:styleId="836">
    <w:name w:val="Выделенная цитата Знак1"/>
    <w:next w:val="836"/>
    <w:link w:val="811"/>
    <w:uiPriority w:val="30"/>
    <w:pPr>
      <w:pBdr/>
      <w:spacing/>
      <w:ind/>
    </w:pPr>
    <w:rPr>
      <w:i/>
    </w:rPr>
  </w:style>
  <w:style w:type="character" w:styleId="837">
    <w:name w:val="Текст сноски Знак1"/>
    <w:next w:val="837"/>
    <w:link w:val="822"/>
    <w:uiPriority w:val="99"/>
    <w:pPr>
      <w:pBdr/>
      <w:spacing/>
      <w:ind/>
    </w:pPr>
    <w:rPr>
      <w:sz w:val="18"/>
    </w:rPr>
  </w:style>
  <w:style w:type="character" w:styleId="838">
    <w:name w:val="Текст концевой сноски Знак1"/>
    <w:next w:val="838"/>
    <w:link w:val="824"/>
    <w:uiPriority w:val="99"/>
    <w:pPr>
      <w:pBdr/>
      <w:spacing/>
      <w:ind/>
    </w:pPr>
    <w:rPr>
      <w:sz w:val="20"/>
    </w:rPr>
  </w:style>
  <w:style w:type="paragraph" w:styleId="839">
    <w:name w:val="Перечень рисунков1"/>
    <w:basedOn w:val="792"/>
    <w:next w:val="792"/>
    <w:link w:val="792"/>
    <w:uiPriority w:val="99"/>
    <w:unhideWhenUsed/>
    <w:pPr>
      <w:pBdr/>
      <w:spacing w:after="0"/>
      <w:ind/>
    </w:pPr>
  </w:style>
  <w:style w:type="character" w:styleId="840">
    <w:name w:val="Заголовок 1 Знак"/>
    <w:basedOn w:val="830"/>
    <w:next w:val="840"/>
    <w:link w:val="79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41">
    <w:name w:val="Заголовок 2 Знак"/>
    <w:basedOn w:val="830"/>
    <w:next w:val="841"/>
    <w:link w:val="794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842">
    <w:name w:val="Заголовок 3 Знак"/>
    <w:basedOn w:val="830"/>
    <w:next w:val="842"/>
    <w:link w:val="795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43">
    <w:name w:val="Заголовок 4 Знак"/>
    <w:basedOn w:val="830"/>
    <w:next w:val="843"/>
    <w:link w:val="796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44">
    <w:name w:val="Заголовок 5 Знак"/>
    <w:basedOn w:val="830"/>
    <w:next w:val="844"/>
    <w:link w:val="797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45">
    <w:name w:val="Заголовок 6 Знак"/>
    <w:basedOn w:val="830"/>
    <w:next w:val="845"/>
    <w:link w:val="79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46">
    <w:name w:val="Заголовок 7 Знак"/>
    <w:basedOn w:val="830"/>
    <w:next w:val="846"/>
    <w:link w:val="799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47">
    <w:name w:val="Заголовок 8 Знак"/>
    <w:basedOn w:val="830"/>
    <w:next w:val="847"/>
    <w:link w:val="800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48">
    <w:name w:val="Заголовок 9 Знак"/>
    <w:basedOn w:val="830"/>
    <w:next w:val="848"/>
    <w:link w:val="801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849">
    <w:name w:val="Без интервала1"/>
    <w:next w:val="849"/>
    <w:link w:val="792"/>
    <w:uiPriority w:val="1"/>
    <w:qFormat/>
    <w:pPr>
      <w:pBdr/>
      <w:spacing/>
      <w:ind/>
    </w:pPr>
    <w:rPr>
      <w:sz w:val="22"/>
      <w:szCs w:val="22"/>
      <w:lang w:val="ru-RU" w:eastAsia="en-US" w:bidi="ar-SA"/>
    </w:rPr>
  </w:style>
  <w:style w:type="paragraph" w:styleId="850">
    <w:name w:val="Название1"/>
    <w:basedOn w:val="792"/>
    <w:next w:val="792"/>
    <w:link w:val="851"/>
    <w:uiPriority w:val="10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851">
    <w:name w:val="Название Знак"/>
    <w:basedOn w:val="830"/>
    <w:next w:val="851"/>
    <w:link w:val="850"/>
    <w:uiPriority w:val="10"/>
    <w:pPr>
      <w:pBdr/>
      <w:spacing/>
      <w:ind/>
    </w:pPr>
    <w:rPr>
      <w:sz w:val="48"/>
      <w:szCs w:val="48"/>
    </w:rPr>
  </w:style>
  <w:style w:type="paragraph" w:styleId="852">
    <w:name w:val="Подзаголовок1"/>
    <w:basedOn w:val="792"/>
    <w:next w:val="792"/>
    <w:link w:val="853"/>
    <w:uiPriority w:val="11"/>
    <w:qFormat/>
    <w:pPr>
      <w:pBdr/>
      <w:spacing w:before="200"/>
      <w:ind/>
    </w:pPr>
    <w:rPr>
      <w:sz w:val="24"/>
      <w:szCs w:val="24"/>
    </w:rPr>
  </w:style>
  <w:style w:type="character" w:styleId="853">
    <w:name w:val="Подзаголовок Знак"/>
    <w:basedOn w:val="830"/>
    <w:next w:val="853"/>
    <w:link w:val="852"/>
    <w:uiPriority w:val="11"/>
    <w:pPr>
      <w:pBdr/>
      <w:spacing/>
      <w:ind/>
    </w:pPr>
    <w:rPr>
      <w:sz w:val="24"/>
      <w:szCs w:val="24"/>
    </w:rPr>
  </w:style>
  <w:style w:type="paragraph" w:styleId="854">
    <w:name w:val="Цитата 21"/>
    <w:basedOn w:val="792"/>
    <w:next w:val="792"/>
    <w:link w:val="855"/>
    <w:uiPriority w:val="29"/>
    <w:qFormat/>
    <w:pPr>
      <w:pBdr/>
      <w:spacing/>
      <w:ind w:right="720" w:left="720"/>
    </w:pPr>
    <w:rPr>
      <w:rFonts w:cs="Times New Roman"/>
      <w:i/>
      <w:sz w:val="20"/>
      <w:szCs w:val="20"/>
      <w:lang w:val="en-US" w:eastAsia="en-US"/>
    </w:rPr>
  </w:style>
  <w:style w:type="character" w:styleId="855">
    <w:name w:val="Цитата 2 Знак"/>
    <w:next w:val="855"/>
    <w:link w:val="854"/>
    <w:uiPriority w:val="29"/>
    <w:pPr>
      <w:pBdr/>
      <w:spacing/>
      <w:ind/>
    </w:pPr>
    <w:rPr>
      <w:i/>
    </w:rPr>
  </w:style>
  <w:style w:type="paragraph" w:styleId="856">
    <w:name w:val="Выделенная цитата1"/>
    <w:basedOn w:val="792"/>
    <w:next w:val="792"/>
    <w:link w:val="857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f2f2f2" w:fill="f2f2f2"/>
      <w:spacing/>
      <w:ind w:right="720" w:left="720"/>
    </w:pPr>
    <w:rPr>
      <w:rFonts w:cs="Times New Roman"/>
      <w:i/>
      <w:sz w:val="20"/>
      <w:szCs w:val="20"/>
      <w:lang w:val="en-US" w:eastAsia="en-US"/>
    </w:rPr>
  </w:style>
  <w:style w:type="character" w:styleId="857">
    <w:name w:val="Выделенная цитата Знак"/>
    <w:next w:val="857"/>
    <w:link w:val="856"/>
    <w:uiPriority w:val="30"/>
    <w:pPr>
      <w:pBdr/>
      <w:spacing/>
      <w:ind/>
    </w:pPr>
    <w:rPr>
      <w:i/>
    </w:rPr>
  </w:style>
  <w:style w:type="paragraph" w:styleId="858">
    <w:name w:val="Header1"/>
    <w:basedOn w:val="792"/>
    <w:next w:val="858"/>
    <w:link w:val="859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59">
    <w:name w:val="Header Char"/>
    <w:basedOn w:val="830"/>
    <w:next w:val="859"/>
    <w:link w:val="858"/>
    <w:uiPriority w:val="99"/>
    <w:pPr>
      <w:pBdr/>
      <w:spacing/>
      <w:ind/>
    </w:pPr>
  </w:style>
  <w:style w:type="paragraph" w:styleId="860">
    <w:name w:val="Footer1"/>
    <w:basedOn w:val="792"/>
    <w:next w:val="860"/>
    <w:link w:val="86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61">
    <w:name w:val="Нижний колонтитул Знак"/>
    <w:basedOn w:val="830"/>
    <w:next w:val="861"/>
    <w:link w:val="820"/>
    <w:uiPriority w:val="99"/>
    <w:pPr>
      <w:pBdr/>
      <w:spacing/>
      <w:ind/>
    </w:pPr>
  </w:style>
  <w:style w:type="paragraph" w:styleId="862">
    <w:name w:val="Caption1"/>
    <w:basedOn w:val="792"/>
    <w:next w:val="792"/>
    <w:link w:val="792"/>
    <w:uiPriority w:val="35"/>
    <w:semiHidden/>
    <w:unhideWhenUsed/>
    <w:qFormat/>
    <w:pPr>
      <w:pBdr/>
      <w:spacing/>
      <w:ind/>
    </w:pPr>
    <w:rPr>
      <w:b/>
      <w:bCs/>
      <w:color w:val="5b9bd5"/>
      <w:sz w:val="18"/>
      <w:szCs w:val="18"/>
    </w:rPr>
  </w:style>
  <w:style w:type="character" w:styleId="863">
    <w:name w:val="Caption Char"/>
    <w:next w:val="863"/>
    <w:link w:val="860"/>
    <w:uiPriority w:val="99"/>
    <w:pPr>
      <w:pBdr/>
      <w:spacing/>
      <w:ind/>
    </w:pPr>
  </w:style>
  <w:style w:type="table" w:styleId="864">
    <w:name w:val="Сетка таблицы1"/>
    <w:basedOn w:val="831"/>
    <w:next w:val="864"/>
    <w:link w:val="792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Table Grid Light"/>
    <w:basedOn w:val="831"/>
    <w:next w:val="865"/>
    <w:link w:val="792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Plain Table 1"/>
    <w:basedOn w:val="831"/>
    <w:next w:val="866"/>
    <w:link w:val="792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Plain Table 2"/>
    <w:basedOn w:val="831"/>
    <w:next w:val="867"/>
    <w:link w:val="792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Plain Table 3"/>
    <w:basedOn w:val="831"/>
    <w:next w:val="868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Plain Table 4"/>
    <w:basedOn w:val="831"/>
    <w:next w:val="869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Plain Table 5"/>
    <w:basedOn w:val="831"/>
    <w:next w:val="870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1 Light"/>
    <w:basedOn w:val="831"/>
    <w:next w:val="871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1 Light - Accent 1"/>
    <w:basedOn w:val="831"/>
    <w:next w:val="872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bcd6ee" w:sz="4" w:space="0"/>
        <w:left w:val="single" w:color="bcd6ee" w:sz="4" w:space="0"/>
        <w:bottom w:val="single" w:color="bcd6ee" w:sz="4" w:space="0"/>
        <w:right w:val="single" w:color="bcd6ee" w:sz="4" w:space="0"/>
        <w:insideH w:val="single" w:color="bcd6ee" w:sz="4" w:space="0"/>
        <w:insideV w:val="single" w:color="bcd6e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1 Light - Accent 2"/>
    <w:basedOn w:val="831"/>
    <w:next w:val="873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7caab" w:sz="4" w:space="0"/>
        <w:left w:val="single" w:color="f7caab" w:sz="4" w:space="0"/>
        <w:bottom w:val="single" w:color="f7caab" w:sz="4" w:space="0"/>
        <w:right w:val="single" w:color="f7caab" w:sz="4" w:space="0"/>
        <w:insideH w:val="single" w:color="f7caab" w:sz="4" w:space="0"/>
        <w:insideV w:val="single" w:color="f7caa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1 Light - Accent 3"/>
    <w:basedOn w:val="831"/>
    <w:next w:val="874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dadada" w:sz="4" w:space="0"/>
        <w:left w:val="single" w:color="dadada" w:sz="4" w:space="0"/>
        <w:bottom w:val="single" w:color="dadada" w:sz="4" w:space="0"/>
        <w:right w:val="single" w:color="dadada" w:sz="4" w:space="0"/>
        <w:insideH w:val="single" w:color="dadada" w:sz="4" w:space="0"/>
        <w:insideV w:val="single" w:color="dadad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1 Light - Accent 4"/>
    <w:basedOn w:val="831"/>
    <w:next w:val="875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fe598" w:sz="4" w:space="0"/>
        <w:left w:val="single" w:color="ffe598" w:sz="4" w:space="0"/>
        <w:bottom w:val="single" w:color="ffe598" w:sz="4" w:space="0"/>
        <w:right w:val="single" w:color="ffe598" w:sz="4" w:space="0"/>
        <w:insideH w:val="single" w:color="ffe598" w:sz="4" w:space="0"/>
        <w:insideV w:val="single" w:color="ffe5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1 Light - Accent 5"/>
    <w:basedOn w:val="831"/>
    <w:next w:val="876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b3c5e7" w:sz="4" w:space="0"/>
        <w:left w:val="single" w:color="b3c5e7" w:sz="4" w:space="0"/>
        <w:bottom w:val="single" w:color="b3c5e7" w:sz="4" w:space="0"/>
        <w:right w:val="single" w:color="b3c5e7" w:sz="4" w:space="0"/>
        <w:insideH w:val="single" w:color="b3c5e7" w:sz="4" w:space="0"/>
        <w:insideV w:val="single" w:color="b3c5e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1 Light - Accent 6"/>
    <w:basedOn w:val="831"/>
    <w:next w:val="877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c4dfb2" w:sz="4" w:space="0"/>
        <w:left w:val="single" w:color="c4dfb2" w:sz="4" w:space="0"/>
        <w:bottom w:val="single" w:color="c4dfb2" w:sz="4" w:space="0"/>
        <w:right w:val="single" w:color="c4dfb2" w:sz="4" w:space="0"/>
        <w:insideH w:val="single" w:color="c4dfb2" w:sz="4" w:space="0"/>
        <w:insideV w:val="single" w:color="c4df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2"/>
    <w:basedOn w:val="831"/>
    <w:next w:val="878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2 - Accent 1"/>
    <w:basedOn w:val="831"/>
    <w:next w:val="879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8a2d8" w:sz="4" w:space="0"/>
        <w:right w:val="none" w:color="000000" w:sz="0" w:space="0"/>
        <w:insideH w:val="single" w:color="68a2d8" w:sz="4" w:space="0"/>
        <w:insideV w:val="single" w:color="68a2d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2 - Accent 2"/>
    <w:basedOn w:val="831"/>
    <w:next w:val="880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4b184" w:sz="4" w:space="0"/>
        <w:right w:val="none" w:color="000000" w:sz="0" w:space="0"/>
        <w:insideH w:val="single" w:color="f4b184" w:sz="4" w:space="0"/>
        <w:insideV w:val="single" w:color="f4b18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2 - Accent 3"/>
    <w:basedOn w:val="831"/>
    <w:next w:val="881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5a5a5" w:sz="4" w:space="0"/>
        <w:right w:val="none" w:color="000000" w:sz="0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2 - Accent 4"/>
    <w:basedOn w:val="831"/>
    <w:next w:val="882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fd865" w:sz="4" w:space="0"/>
        <w:right w:val="none" w:color="000000" w:sz="0" w:space="0"/>
        <w:insideH w:val="single" w:color="ffd865" w:sz="4" w:space="0"/>
        <w:insideV w:val="single" w:color="ffd86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2 - Accent 5"/>
    <w:basedOn w:val="831"/>
    <w:next w:val="883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4472c4" w:sz="4" w:space="0"/>
        <w:right w:val="none" w:color="000000" w:sz="0" w:space="0"/>
        <w:insideH w:val="single" w:color="4472c4" w:sz="4" w:space="0"/>
        <w:insideV w:val="single" w:color="4472c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2 - Accent 6"/>
    <w:basedOn w:val="831"/>
    <w:next w:val="884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70ad47" w:sz="4" w:space="0"/>
        <w:right w:val="none" w:color="000000" w:sz="0" w:space="0"/>
        <w:insideH w:val="single" w:color="70ad47" w:sz="4" w:space="0"/>
        <w:insideV w:val="single" w:color="70ad4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3"/>
    <w:basedOn w:val="831"/>
    <w:next w:val="885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3 - Accent 1"/>
    <w:basedOn w:val="831"/>
    <w:next w:val="886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8a2d8" w:sz="4" w:space="0"/>
        <w:right w:val="none" w:color="000000" w:sz="0" w:space="0"/>
        <w:insideH w:val="single" w:color="68a2d8" w:sz="4" w:space="0"/>
        <w:insideV w:val="single" w:color="68a2d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3 - Accent 2"/>
    <w:basedOn w:val="831"/>
    <w:next w:val="887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4b184" w:sz="4" w:space="0"/>
        <w:right w:val="none" w:color="000000" w:sz="0" w:space="0"/>
        <w:insideH w:val="single" w:color="f4b184" w:sz="4" w:space="0"/>
        <w:insideV w:val="single" w:color="f4b18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3 - Accent 3"/>
    <w:basedOn w:val="831"/>
    <w:next w:val="888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5a5a5" w:sz="4" w:space="0"/>
        <w:right w:val="none" w:color="000000" w:sz="0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3 - Accent 4"/>
    <w:basedOn w:val="831"/>
    <w:next w:val="889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fd865" w:sz="4" w:space="0"/>
        <w:right w:val="none" w:color="000000" w:sz="0" w:space="0"/>
        <w:insideH w:val="single" w:color="ffd865" w:sz="4" w:space="0"/>
        <w:insideV w:val="single" w:color="ffd86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3 - Accent 5"/>
    <w:basedOn w:val="831"/>
    <w:next w:val="890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4472c4" w:sz="4" w:space="0"/>
        <w:right w:val="none" w:color="000000" w:sz="0" w:space="0"/>
        <w:insideH w:val="single" w:color="4472c4" w:sz="4" w:space="0"/>
        <w:insideV w:val="single" w:color="4472c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3 - Accent 6"/>
    <w:basedOn w:val="831"/>
    <w:next w:val="891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70ad47" w:sz="4" w:space="0"/>
        <w:right w:val="none" w:color="000000" w:sz="0" w:space="0"/>
        <w:insideH w:val="single" w:color="70ad47" w:sz="4" w:space="0"/>
        <w:insideV w:val="single" w:color="70ad4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4"/>
    <w:basedOn w:val="831"/>
    <w:next w:val="892"/>
    <w:link w:val="792"/>
    <w:uiPriority w:val="59"/>
    <w:pPr>
      <w:pBdr/>
      <w:spacing/>
      <w:ind/>
    </w:pPr>
    <w:tblPr>
      <w:tblStyleRowBandSize w:val="1"/>
      <w:tblStyleColBandSize w:val="1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4 - Accent 1"/>
    <w:basedOn w:val="831"/>
    <w:next w:val="893"/>
    <w:link w:val="792"/>
    <w:uiPriority w:val="59"/>
    <w:pPr>
      <w:pBdr/>
      <w:spacing/>
      <w:ind/>
    </w:pPr>
    <w:tblPr>
      <w:tblStyleRowBandSize w:val="1"/>
      <w:tblStyleColBandSize w:val="1"/>
      <w:tblW w:w="0" w:type="auto"/>
      <w:tblBorders>
        <w:top w:val="single" w:color="a2c6e7" w:sz="4" w:space="0"/>
        <w:left w:val="single" w:color="a2c6e7" w:sz="4" w:space="0"/>
        <w:bottom w:val="single" w:color="a2c6e7" w:sz="4" w:space="0"/>
        <w:right w:val="single" w:color="a2c6e7" w:sz="4" w:space="0"/>
        <w:insideH w:val="single" w:color="a2c6e7" w:sz="4" w:space="0"/>
        <w:insideV w:val="single" w:color="a2c6e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4 - Accent 2"/>
    <w:basedOn w:val="831"/>
    <w:next w:val="894"/>
    <w:link w:val="792"/>
    <w:uiPriority w:val="59"/>
    <w:pPr>
      <w:pBdr/>
      <w:spacing/>
      <w:ind/>
    </w:pPr>
    <w:tblPr>
      <w:tblStyleRowBandSize w:val="1"/>
      <w:tblStyleColBandSize w:val="1"/>
      <w:tblW w:w="0" w:type="auto"/>
      <w:tblBorders>
        <w:top w:val="single" w:color="f4b58a" w:sz="4" w:space="0"/>
        <w:left w:val="single" w:color="f4b58a" w:sz="4" w:space="0"/>
        <w:bottom w:val="single" w:color="f4b58a" w:sz="4" w:space="0"/>
        <w:right w:val="single" w:color="f4b58a" w:sz="4" w:space="0"/>
        <w:insideH w:val="single" w:color="f4b58a" w:sz="4" w:space="0"/>
        <w:insideV w:val="single" w:color="f4b58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4 - Accent 3"/>
    <w:basedOn w:val="831"/>
    <w:next w:val="895"/>
    <w:link w:val="792"/>
    <w:uiPriority w:val="59"/>
    <w:pPr>
      <w:pBdr/>
      <w:spacing/>
      <w:ind/>
    </w:pPr>
    <w:tblPr>
      <w:tblStyleRowBandSize w:val="1"/>
      <w:tblStyleColBandSize w:val="1"/>
      <w:tblW w:w="0" w:type="auto"/>
      <w:tblBorders>
        <w:top w:val="single" w:color="cccccc" w:sz="4" w:space="0"/>
        <w:left w:val="single" w:color="cccccc" w:sz="4" w:space="0"/>
        <w:bottom w:val="single" w:color="cccccc" w:sz="4" w:space="0"/>
        <w:right w:val="single" w:color="cccccc" w:sz="4" w:space="0"/>
        <w:insideH w:val="single" w:color="cccccc" w:sz="4" w:space="0"/>
        <w:insideV w:val="single" w:color="ccccc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4 - Accent 4"/>
    <w:basedOn w:val="831"/>
    <w:next w:val="896"/>
    <w:link w:val="792"/>
    <w:uiPriority w:val="59"/>
    <w:pPr>
      <w:pBdr/>
      <w:spacing/>
      <w:ind/>
    </w:pPr>
    <w:tblPr>
      <w:tblStyleRowBandSize w:val="1"/>
      <w:tblStyleColBandSize w:val="1"/>
      <w:tblW w:w="0" w:type="auto"/>
      <w:tblBorders>
        <w:top w:val="single" w:color="ffdb6f" w:sz="4" w:space="0"/>
        <w:left w:val="single" w:color="ffdb6f" w:sz="4" w:space="0"/>
        <w:bottom w:val="single" w:color="ffdb6f" w:sz="4" w:space="0"/>
        <w:right w:val="single" w:color="ffdb6f" w:sz="4" w:space="0"/>
        <w:insideH w:val="single" w:color="ffdb6f" w:sz="4" w:space="0"/>
        <w:insideV w:val="single" w:color="ffdb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4 - Accent 5"/>
    <w:basedOn w:val="831"/>
    <w:next w:val="897"/>
    <w:link w:val="792"/>
    <w:uiPriority w:val="59"/>
    <w:pPr>
      <w:pBdr/>
      <w:spacing/>
      <w:ind/>
    </w:pPr>
    <w:tblPr>
      <w:tblStyleRowBandSize w:val="1"/>
      <w:tblStyleColBandSize w:val="1"/>
      <w:tblW w:w="0" w:type="auto"/>
      <w:tblBorders>
        <w:top w:val="single" w:color="95afdd" w:sz="4" w:space="0"/>
        <w:left w:val="single" w:color="95afdd" w:sz="4" w:space="0"/>
        <w:bottom w:val="single" w:color="95afdd" w:sz="4" w:space="0"/>
        <w:right w:val="single" w:color="95afdd" w:sz="4" w:space="0"/>
        <w:insideH w:val="single" w:color="95afdd" w:sz="4" w:space="0"/>
        <w:insideV w:val="single" w:color="95a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4 - Accent 6"/>
    <w:basedOn w:val="831"/>
    <w:next w:val="898"/>
    <w:link w:val="792"/>
    <w:uiPriority w:val="59"/>
    <w:pPr>
      <w:pBdr/>
      <w:spacing/>
      <w:ind/>
    </w:pPr>
    <w:tblPr>
      <w:tblStyleRowBandSize w:val="1"/>
      <w:tblStyleColBandSize w:val="1"/>
      <w:tblW w:w="0" w:type="auto"/>
      <w:tblBorders>
        <w:top w:val="single" w:color="add394" w:sz="4" w:space="0"/>
        <w:left w:val="single" w:color="add394" w:sz="4" w:space="0"/>
        <w:bottom w:val="single" w:color="add394" w:sz="4" w:space="0"/>
        <w:right w:val="single" w:color="add394" w:sz="4" w:space="0"/>
        <w:insideH w:val="single" w:color="add394" w:sz="4" w:space="0"/>
        <w:insideV w:val="single" w:color="add39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5 Dark"/>
    <w:basedOn w:val="831"/>
    <w:next w:val="899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fffff" w:fill="fffff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5 Dark- Accent 1"/>
    <w:basedOn w:val="831"/>
    <w:next w:val="900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fffff" w:fill="fffff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5 Dark - Accent 2"/>
    <w:basedOn w:val="831"/>
    <w:next w:val="901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fffff" w:fill="fffff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5 Dark - Accent 3"/>
    <w:basedOn w:val="831"/>
    <w:next w:val="902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fffff" w:fill="fffff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5 Dark- Accent 4"/>
    <w:basedOn w:val="831"/>
    <w:next w:val="903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fffff" w:fill="fffff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5 Dark - Accent 5"/>
    <w:basedOn w:val="831"/>
    <w:next w:val="904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fffff" w:fill="fffff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5 Dark - Accent 6"/>
    <w:basedOn w:val="831"/>
    <w:next w:val="905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fffff" w:fill="fffff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6 Colorful"/>
    <w:basedOn w:val="831"/>
    <w:next w:val="906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6 Colorful - Accent 1"/>
    <w:basedOn w:val="831"/>
    <w:next w:val="907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acccea" w:sz="4" w:space="0"/>
        <w:left w:val="single" w:color="acccea" w:sz="4" w:space="0"/>
        <w:bottom w:val="single" w:color="acccea" w:sz="4" w:space="0"/>
        <w:right w:val="single" w:color="acccea" w:sz="4" w:space="0"/>
        <w:insideH w:val="single" w:color="acccea" w:sz="4" w:space="0"/>
        <w:insideV w:val="single" w:color="accce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6 Colorful - Accent 2"/>
    <w:basedOn w:val="831"/>
    <w:next w:val="908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4b184" w:sz="4" w:space="0"/>
        <w:left w:val="single" w:color="f4b184" w:sz="4" w:space="0"/>
        <w:bottom w:val="single" w:color="f4b184" w:sz="4" w:space="0"/>
        <w:right w:val="single" w:color="f4b184" w:sz="4" w:space="0"/>
        <w:insideH w:val="single" w:color="f4b184" w:sz="4" w:space="0"/>
        <w:insideV w:val="single" w:color="f4b18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6 Colorful - Accent 3"/>
    <w:basedOn w:val="831"/>
    <w:next w:val="909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a5a5a5" w:sz="4" w:space="0"/>
        <w:left w:val="single" w:color="a5a5a5" w:sz="4" w:space="0"/>
        <w:bottom w:val="single" w:color="a5a5a5" w:sz="4" w:space="0"/>
        <w:right w:val="single" w:color="a5a5a5" w:sz="4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6 Colorful - Accent 4"/>
    <w:basedOn w:val="831"/>
    <w:next w:val="910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fd865" w:sz="4" w:space="0"/>
        <w:left w:val="single" w:color="ffd865" w:sz="4" w:space="0"/>
        <w:bottom w:val="single" w:color="ffd865" w:sz="4" w:space="0"/>
        <w:right w:val="single" w:color="ffd865" w:sz="4" w:space="0"/>
        <w:insideH w:val="single" w:color="ffd865" w:sz="4" w:space="0"/>
        <w:insideV w:val="single" w:color="ffd86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6 Colorful - Accent 5"/>
    <w:basedOn w:val="831"/>
    <w:next w:val="911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4472c4" w:sz="4" w:space="0"/>
        <w:left w:val="single" w:color="4472c4" w:sz="4" w:space="0"/>
        <w:bottom w:val="single" w:color="4472c4" w:sz="4" w:space="0"/>
        <w:right w:val="single" w:color="4472c4" w:sz="4" w:space="0"/>
        <w:insideH w:val="single" w:color="4472c4" w:sz="4" w:space="0"/>
        <w:insideV w:val="single" w:color="4472c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6 Colorful - Accent 6"/>
    <w:basedOn w:val="831"/>
    <w:next w:val="912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70ad47" w:sz="4" w:space="0"/>
        <w:left w:val="single" w:color="70ad47" w:sz="4" w:space="0"/>
        <w:bottom w:val="single" w:color="70ad47" w:sz="4" w:space="0"/>
        <w:right w:val="single" w:color="70ad47" w:sz="4" w:space="0"/>
        <w:insideH w:val="single" w:color="70ad47" w:sz="4" w:space="0"/>
        <w:insideV w:val="single" w:color="70ad4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7 Colorful"/>
    <w:basedOn w:val="831"/>
    <w:next w:val="913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7 Colorful - Accent 1"/>
    <w:basedOn w:val="831"/>
    <w:next w:val="914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cccea" w:sz="4" w:space="0"/>
        <w:right w:val="single" w:color="acccea" w:sz="4" w:space="0"/>
        <w:insideH w:val="single" w:color="acccea" w:sz="4" w:space="0"/>
        <w:insideV w:val="single" w:color="accce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7 Colorful - Accent 2"/>
    <w:basedOn w:val="831"/>
    <w:next w:val="915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4b184" w:sz="4" w:space="0"/>
        <w:right w:val="single" w:color="f4b184" w:sz="4" w:space="0"/>
        <w:insideH w:val="single" w:color="f4b184" w:sz="4" w:space="0"/>
        <w:insideV w:val="single" w:color="f4b18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7 Colorful - Accent 3"/>
    <w:basedOn w:val="831"/>
    <w:next w:val="916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5a5a5" w:sz="4" w:space="0"/>
        <w:right w:val="single" w:color="a5a5a5" w:sz="4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7 Colorful - Accent 4"/>
    <w:basedOn w:val="831"/>
    <w:next w:val="917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fd865" w:sz="4" w:space="0"/>
        <w:right w:val="single" w:color="ffd865" w:sz="4" w:space="0"/>
        <w:insideH w:val="single" w:color="ffd865" w:sz="4" w:space="0"/>
        <w:insideV w:val="single" w:color="ffd86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7 Colorful - Accent 5"/>
    <w:basedOn w:val="831"/>
    <w:next w:val="918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5afdd" w:sz="4" w:space="0"/>
        <w:right w:val="single" w:color="95afdd" w:sz="4" w:space="0"/>
        <w:insideH w:val="single" w:color="95afdd" w:sz="4" w:space="0"/>
        <w:insideV w:val="single" w:color="95a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7 Colorful - Accent 6"/>
    <w:basedOn w:val="831"/>
    <w:next w:val="919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dd394" w:sz="4" w:space="0"/>
        <w:right w:val="single" w:color="add394" w:sz="4" w:space="0"/>
        <w:insideH w:val="single" w:color="add394" w:sz="4" w:space="0"/>
        <w:insideV w:val="single" w:color="add39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1 Light"/>
    <w:basedOn w:val="831"/>
    <w:next w:val="920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1 Light - Accent 1"/>
    <w:basedOn w:val="831"/>
    <w:next w:val="921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1 Light - Accent 2"/>
    <w:basedOn w:val="831"/>
    <w:next w:val="922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1 Light - Accent 3"/>
    <w:basedOn w:val="831"/>
    <w:next w:val="923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1 Light - Accent 4"/>
    <w:basedOn w:val="831"/>
    <w:next w:val="924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1 Light - Accent 5"/>
    <w:basedOn w:val="831"/>
    <w:next w:val="925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1 Light - Accent 6"/>
    <w:basedOn w:val="831"/>
    <w:next w:val="926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2"/>
    <w:basedOn w:val="831"/>
    <w:next w:val="927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2 - Accent 1"/>
    <w:basedOn w:val="831"/>
    <w:next w:val="928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a2c6e7" w:sz="4" w:space="0"/>
        <w:left w:val="none" w:color="000000" w:sz="0" w:space="0"/>
        <w:bottom w:val="single" w:color="a2c6e7" w:sz="4" w:space="0"/>
        <w:right w:val="none" w:color="000000" w:sz="0" w:space="0"/>
        <w:insideH w:val="single" w:color="a2c6e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2 - Accent 2"/>
    <w:basedOn w:val="831"/>
    <w:next w:val="929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4b58a" w:sz="4" w:space="0"/>
        <w:left w:val="none" w:color="000000" w:sz="0" w:space="0"/>
        <w:bottom w:val="single" w:color="f4b58a" w:sz="4" w:space="0"/>
        <w:right w:val="none" w:color="000000" w:sz="0" w:space="0"/>
        <w:insideH w:val="single" w:color="f4b58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2 - Accent 3"/>
    <w:basedOn w:val="831"/>
    <w:next w:val="930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cccccc" w:sz="4" w:space="0"/>
        <w:left w:val="none" w:color="000000" w:sz="0" w:space="0"/>
        <w:bottom w:val="single" w:color="cccccc" w:sz="4" w:space="0"/>
        <w:right w:val="none" w:color="000000" w:sz="0" w:space="0"/>
        <w:insideH w:val="single" w:color="cccccc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2 - Accent 4"/>
    <w:basedOn w:val="831"/>
    <w:next w:val="931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fdb6f" w:sz="4" w:space="0"/>
        <w:left w:val="none" w:color="000000" w:sz="0" w:space="0"/>
        <w:bottom w:val="single" w:color="ffdb6f" w:sz="4" w:space="0"/>
        <w:right w:val="none" w:color="000000" w:sz="0" w:space="0"/>
        <w:insideH w:val="single" w:color="ffdb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2 - Accent 5"/>
    <w:basedOn w:val="831"/>
    <w:next w:val="932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95afdd" w:sz="4" w:space="0"/>
        <w:left w:val="none" w:color="000000" w:sz="0" w:space="0"/>
        <w:bottom w:val="single" w:color="95afdd" w:sz="4" w:space="0"/>
        <w:right w:val="none" w:color="000000" w:sz="0" w:space="0"/>
        <w:insideH w:val="single" w:color="95afdd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2 - Accent 6"/>
    <w:basedOn w:val="831"/>
    <w:next w:val="933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add394" w:sz="4" w:space="0"/>
        <w:left w:val="none" w:color="000000" w:sz="0" w:space="0"/>
        <w:bottom w:val="single" w:color="add394" w:sz="4" w:space="0"/>
        <w:right w:val="none" w:color="000000" w:sz="0" w:space="0"/>
        <w:insideH w:val="single" w:color="add394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3"/>
    <w:basedOn w:val="831"/>
    <w:next w:val="934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3 - Accent 1"/>
    <w:basedOn w:val="831"/>
    <w:next w:val="935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5b9bd5" w:sz="4" w:space="0"/>
        <w:left w:val="single" w:color="5b9bd5" w:sz="4" w:space="0"/>
        <w:bottom w:val="single" w:color="5b9bd5" w:sz="4" w:space="0"/>
        <w:right w:val="single" w:color="5b9bd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3 - Accent 2"/>
    <w:basedOn w:val="831"/>
    <w:next w:val="936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4b184" w:sz="4" w:space="0"/>
        <w:left w:val="single" w:color="f4b184" w:sz="4" w:space="0"/>
        <w:bottom w:val="single" w:color="f4b184" w:sz="4" w:space="0"/>
        <w:right w:val="single" w:color="f4b184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3 - Accent 3"/>
    <w:basedOn w:val="831"/>
    <w:next w:val="937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c9c9c9" w:sz="4" w:space="0"/>
        <w:left w:val="single" w:color="c9c9c9" w:sz="4" w:space="0"/>
        <w:bottom w:val="single" w:color="c9c9c9" w:sz="4" w:space="0"/>
        <w:right w:val="single" w:color="c9c9c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3 - Accent 4"/>
    <w:basedOn w:val="831"/>
    <w:next w:val="938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fd865" w:sz="4" w:space="0"/>
        <w:left w:val="single" w:color="ffd865" w:sz="4" w:space="0"/>
        <w:bottom w:val="single" w:color="ffd865" w:sz="4" w:space="0"/>
        <w:right w:val="single" w:color="ffd86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3 - Accent 5"/>
    <w:basedOn w:val="831"/>
    <w:next w:val="939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8da9db" w:sz="4" w:space="0"/>
        <w:left w:val="single" w:color="8da9db" w:sz="4" w:space="0"/>
        <w:bottom w:val="single" w:color="8da9db" w:sz="4" w:space="0"/>
        <w:right w:val="single" w:color="8da9d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3 - Accent 6"/>
    <w:basedOn w:val="831"/>
    <w:next w:val="940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a9d08e" w:sz="4" w:space="0"/>
        <w:left w:val="single" w:color="a9d08e" w:sz="4" w:space="0"/>
        <w:bottom w:val="single" w:color="a9d08e" w:sz="4" w:space="0"/>
        <w:right w:val="single" w:color="a9d08e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4"/>
    <w:basedOn w:val="831"/>
    <w:next w:val="941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4 - Accent 1"/>
    <w:basedOn w:val="831"/>
    <w:next w:val="942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a2c6e7" w:sz="4" w:space="0"/>
        <w:left w:val="single" w:color="a2c6e7" w:sz="4" w:space="0"/>
        <w:bottom w:val="single" w:color="a2c6e7" w:sz="4" w:space="0"/>
        <w:right w:val="single" w:color="a2c6e7" w:sz="4" w:space="0"/>
        <w:insideH w:val="single" w:color="a2c6e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4 - Accent 2"/>
    <w:basedOn w:val="831"/>
    <w:next w:val="943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4b58a" w:sz="4" w:space="0"/>
        <w:left w:val="single" w:color="f4b58a" w:sz="4" w:space="0"/>
        <w:bottom w:val="single" w:color="f4b58a" w:sz="4" w:space="0"/>
        <w:right w:val="single" w:color="f4b58a" w:sz="4" w:space="0"/>
        <w:insideH w:val="single" w:color="f4b58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4 - Accent 3"/>
    <w:basedOn w:val="831"/>
    <w:next w:val="944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cccccc" w:sz="4" w:space="0"/>
        <w:left w:val="single" w:color="cccccc" w:sz="4" w:space="0"/>
        <w:bottom w:val="single" w:color="cccccc" w:sz="4" w:space="0"/>
        <w:right w:val="single" w:color="cccccc" w:sz="4" w:space="0"/>
        <w:insideH w:val="single" w:color="cccccc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4 - Accent 4"/>
    <w:basedOn w:val="831"/>
    <w:next w:val="945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fdb6f" w:sz="4" w:space="0"/>
        <w:left w:val="single" w:color="ffdb6f" w:sz="4" w:space="0"/>
        <w:bottom w:val="single" w:color="ffdb6f" w:sz="4" w:space="0"/>
        <w:right w:val="single" w:color="ffdb6f" w:sz="4" w:space="0"/>
        <w:insideH w:val="single" w:color="ffdb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4 - Accent 5"/>
    <w:basedOn w:val="831"/>
    <w:next w:val="946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95afdd" w:sz="4" w:space="0"/>
        <w:left w:val="single" w:color="95afdd" w:sz="4" w:space="0"/>
        <w:bottom w:val="single" w:color="95afdd" w:sz="4" w:space="0"/>
        <w:right w:val="single" w:color="95afdd" w:sz="4" w:space="0"/>
        <w:insideH w:val="single" w:color="95afdd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4 - Accent 6"/>
    <w:basedOn w:val="831"/>
    <w:next w:val="947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add394" w:sz="4" w:space="0"/>
        <w:left w:val="single" w:color="add394" w:sz="4" w:space="0"/>
        <w:bottom w:val="single" w:color="add394" w:sz="4" w:space="0"/>
        <w:right w:val="single" w:color="add394" w:sz="4" w:space="0"/>
        <w:insideH w:val="single" w:color="add394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5 Dark"/>
    <w:basedOn w:val="831"/>
    <w:next w:val="948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ffffff" w:fill="fffff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5 Dark - Accent 1"/>
    <w:basedOn w:val="831"/>
    <w:next w:val="949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5b9bd5" w:sz="32" w:space="0"/>
        <w:left w:val="single" w:color="5b9bd5" w:sz="32" w:space="0"/>
        <w:bottom w:val="single" w:color="5b9bd5" w:sz="32" w:space="0"/>
        <w:right w:val="single" w:color="5b9bd5" w:sz="32" w:space="0"/>
        <w:insideH w:val="none" w:color="000000" w:sz="0" w:space="0"/>
        <w:insideV w:val="none" w:color="000000" w:sz="0" w:space="0"/>
      </w:tblBorders>
      <w:shd w:val="clear" w:color="ffffff" w:fill="fffff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5 Dark - Accent 2"/>
    <w:basedOn w:val="831"/>
    <w:next w:val="950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4b184" w:sz="32" w:space="0"/>
        <w:left w:val="single" w:color="f4b184" w:sz="32" w:space="0"/>
        <w:bottom w:val="single" w:color="f4b184" w:sz="32" w:space="0"/>
        <w:right w:val="single" w:color="f4b184" w:sz="32" w:space="0"/>
        <w:insideH w:val="none" w:color="000000" w:sz="0" w:space="0"/>
        <w:insideV w:val="none" w:color="000000" w:sz="0" w:space="0"/>
      </w:tblBorders>
      <w:shd w:val="clear" w:color="ffffff" w:fill="fffff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5 Dark - Accent 3"/>
    <w:basedOn w:val="831"/>
    <w:next w:val="951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c9c9c9" w:sz="32" w:space="0"/>
        <w:left w:val="single" w:color="c9c9c9" w:sz="32" w:space="0"/>
        <w:bottom w:val="single" w:color="c9c9c9" w:sz="32" w:space="0"/>
        <w:right w:val="single" w:color="c9c9c9" w:sz="32" w:space="0"/>
        <w:insideH w:val="none" w:color="000000" w:sz="0" w:space="0"/>
        <w:insideV w:val="none" w:color="000000" w:sz="0" w:space="0"/>
      </w:tblBorders>
      <w:shd w:val="clear" w:color="ffffff" w:fill="fffff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5 Dark - Accent 4"/>
    <w:basedOn w:val="831"/>
    <w:next w:val="952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fd865" w:sz="32" w:space="0"/>
        <w:left w:val="single" w:color="ffd865" w:sz="32" w:space="0"/>
        <w:bottom w:val="single" w:color="ffd865" w:sz="32" w:space="0"/>
        <w:right w:val="single" w:color="ffd865" w:sz="32" w:space="0"/>
        <w:insideH w:val="none" w:color="000000" w:sz="0" w:space="0"/>
        <w:insideV w:val="none" w:color="000000" w:sz="0" w:space="0"/>
      </w:tblBorders>
      <w:shd w:val="clear" w:color="ffffff" w:fill="fffff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5 Dark - Accent 5"/>
    <w:basedOn w:val="831"/>
    <w:next w:val="953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8da9db" w:sz="32" w:space="0"/>
        <w:left w:val="single" w:color="8da9db" w:sz="32" w:space="0"/>
        <w:bottom w:val="single" w:color="8da9db" w:sz="32" w:space="0"/>
        <w:right w:val="single" w:color="8da9db" w:sz="32" w:space="0"/>
        <w:insideH w:val="none" w:color="000000" w:sz="0" w:space="0"/>
        <w:insideV w:val="none" w:color="000000" w:sz="0" w:space="0"/>
      </w:tblBorders>
      <w:shd w:val="clear" w:color="ffffff" w:fill="fffff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5 Dark - Accent 6"/>
    <w:basedOn w:val="831"/>
    <w:next w:val="954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a9d08e" w:sz="32" w:space="0"/>
        <w:left w:val="single" w:color="a9d08e" w:sz="32" w:space="0"/>
        <w:bottom w:val="single" w:color="a9d08e" w:sz="32" w:space="0"/>
        <w:right w:val="single" w:color="a9d08e" w:sz="32" w:space="0"/>
        <w:insideH w:val="none" w:color="000000" w:sz="0" w:space="0"/>
        <w:insideV w:val="none" w:color="000000" w:sz="0" w:space="0"/>
      </w:tblBorders>
      <w:shd w:val="clear" w:color="ffffff" w:fill="fffff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6 Colorful"/>
    <w:basedOn w:val="831"/>
    <w:next w:val="955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6 Colorful - Accent 1"/>
    <w:basedOn w:val="831"/>
    <w:next w:val="956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5b9bd5" w:sz="4" w:space="0"/>
        <w:left w:val="none" w:color="000000" w:sz="0" w:space="0"/>
        <w:bottom w:val="single" w:color="5b9bd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6 Colorful - Accent 2"/>
    <w:basedOn w:val="831"/>
    <w:next w:val="957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4b184" w:sz="4" w:space="0"/>
        <w:left w:val="none" w:color="000000" w:sz="0" w:space="0"/>
        <w:bottom w:val="single" w:color="f4b184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6 Colorful - Accent 3"/>
    <w:basedOn w:val="831"/>
    <w:next w:val="958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c9c9c9" w:sz="4" w:space="0"/>
        <w:left w:val="none" w:color="000000" w:sz="0" w:space="0"/>
        <w:bottom w:val="single" w:color="c9c9c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6 Colorful - Accent 4"/>
    <w:basedOn w:val="831"/>
    <w:next w:val="959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fd865" w:sz="4" w:space="0"/>
        <w:left w:val="none" w:color="000000" w:sz="0" w:space="0"/>
        <w:bottom w:val="single" w:color="ffd86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6 Colorful - Accent 5"/>
    <w:basedOn w:val="831"/>
    <w:next w:val="960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8da9db" w:sz="4" w:space="0"/>
        <w:left w:val="none" w:color="000000" w:sz="0" w:space="0"/>
        <w:bottom w:val="single" w:color="8da9d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6 Colorful - Accent 6"/>
    <w:basedOn w:val="831"/>
    <w:next w:val="961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a9d08e" w:sz="4" w:space="0"/>
        <w:left w:val="none" w:color="000000" w:sz="0" w:space="0"/>
        <w:bottom w:val="single" w:color="a9d08e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7 Colorful"/>
    <w:basedOn w:val="831"/>
    <w:next w:val="962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7 Colorful - Accent 1"/>
    <w:basedOn w:val="831"/>
    <w:next w:val="963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5b9bd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7 Colorful - Accent 2"/>
    <w:basedOn w:val="831"/>
    <w:next w:val="964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4b184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7 Colorful - Accent 3"/>
    <w:basedOn w:val="831"/>
    <w:next w:val="965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9c9c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7 Colorful - Accent 4"/>
    <w:basedOn w:val="831"/>
    <w:next w:val="966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fd86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7 Colorful - Accent 5"/>
    <w:basedOn w:val="831"/>
    <w:next w:val="967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8da9d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7 Colorful - Accent 6"/>
    <w:basedOn w:val="831"/>
    <w:next w:val="968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a9d08e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ned - Accent"/>
    <w:basedOn w:val="831"/>
    <w:next w:val="969"/>
    <w:link w:val="792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ned - Accent 1"/>
    <w:basedOn w:val="831"/>
    <w:next w:val="970"/>
    <w:link w:val="792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ned - Accent 2"/>
    <w:basedOn w:val="831"/>
    <w:next w:val="971"/>
    <w:link w:val="792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ned - Accent 3"/>
    <w:basedOn w:val="831"/>
    <w:next w:val="972"/>
    <w:link w:val="792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ned - Accent 4"/>
    <w:basedOn w:val="831"/>
    <w:next w:val="973"/>
    <w:link w:val="792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ned - Accent 5"/>
    <w:basedOn w:val="831"/>
    <w:next w:val="974"/>
    <w:link w:val="792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ned - Accent 6"/>
    <w:basedOn w:val="831"/>
    <w:next w:val="975"/>
    <w:link w:val="792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Bordered &amp; Lined - Accent"/>
    <w:basedOn w:val="831"/>
    <w:next w:val="976"/>
    <w:link w:val="792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Bordered &amp; Lined - Accent 1"/>
    <w:basedOn w:val="831"/>
    <w:next w:val="977"/>
    <w:link w:val="792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W w:w="0" w:type="auto"/>
      <w:tblBorders>
        <w:top w:val="single" w:color="245a8d" w:sz="4" w:space="0"/>
        <w:left w:val="single" w:color="245a8d" w:sz="4" w:space="0"/>
        <w:bottom w:val="single" w:color="245a8d" w:sz="4" w:space="0"/>
        <w:right w:val="single" w:color="245a8d" w:sz="4" w:space="0"/>
        <w:insideH w:val="single" w:color="245a8d" w:sz="4" w:space="0"/>
        <w:insideV w:val="single" w:color="245a8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Bordered &amp; Lined - Accent 2"/>
    <w:basedOn w:val="831"/>
    <w:next w:val="978"/>
    <w:link w:val="792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W w:w="0" w:type="auto"/>
      <w:tblBorders>
        <w:top w:val="single" w:color="99460d" w:sz="4" w:space="0"/>
        <w:left w:val="single" w:color="99460d" w:sz="4" w:space="0"/>
        <w:bottom w:val="single" w:color="99460d" w:sz="4" w:space="0"/>
        <w:right w:val="single" w:color="99460d" w:sz="4" w:space="0"/>
        <w:insideH w:val="single" w:color="99460d" w:sz="4" w:space="0"/>
        <w:insideV w:val="single" w:color="99460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Bordered &amp; Lined - Accent 3"/>
    <w:basedOn w:val="831"/>
    <w:next w:val="979"/>
    <w:link w:val="792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W w:w="0" w:type="auto"/>
      <w:tblBorders>
        <w:top w:val="single" w:color="606060" w:sz="4" w:space="0"/>
        <w:left w:val="single" w:color="606060" w:sz="4" w:space="0"/>
        <w:bottom w:val="single" w:color="606060" w:sz="4" w:space="0"/>
        <w:right w:val="single" w:color="606060" w:sz="4" w:space="0"/>
        <w:insideH w:val="single" w:color="606060" w:sz="4" w:space="0"/>
        <w:insideV w:val="single" w:color="60606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Bordered &amp; Lined - Accent 4"/>
    <w:basedOn w:val="831"/>
    <w:next w:val="980"/>
    <w:link w:val="792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W w:w="0" w:type="auto"/>
      <w:tblBorders>
        <w:top w:val="single" w:color="957000" w:sz="4" w:space="0"/>
        <w:left w:val="single" w:color="957000" w:sz="4" w:space="0"/>
        <w:bottom w:val="single" w:color="957000" w:sz="4" w:space="0"/>
        <w:right w:val="single" w:color="957000" w:sz="4" w:space="0"/>
        <w:insideH w:val="single" w:color="957000" w:sz="4" w:space="0"/>
        <w:insideV w:val="single" w:color="957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Bordered &amp; Lined - Accent 5"/>
    <w:basedOn w:val="831"/>
    <w:next w:val="981"/>
    <w:link w:val="792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W w:w="0" w:type="auto"/>
      <w:tblBorders>
        <w:top w:val="single" w:color="254175" w:sz="4" w:space="0"/>
        <w:left w:val="single" w:color="254175" w:sz="4" w:space="0"/>
        <w:bottom w:val="single" w:color="254175" w:sz="4" w:space="0"/>
        <w:right w:val="single" w:color="254175" w:sz="4" w:space="0"/>
        <w:insideH w:val="single" w:color="254175" w:sz="4" w:space="0"/>
        <w:insideV w:val="single" w:color="25417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Bordered &amp; Lined - Accent 6"/>
    <w:basedOn w:val="831"/>
    <w:next w:val="982"/>
    <w:link w:val="792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W w:w="0" w:type="auto"/>
      <w:tblBorders>
        <w:top w:val="single" w:color="416429" w:sz="4" w:space="0"/>
        <w:left w:val="single" w:color="416429" w:sz="4" w:space="0"/>
        <w:bottom w:val="single" w:color="416429" w:sz="4" w:space="0"/>
        <w:right w:val="single" w:color="416429" w:sz="4" w:space="0"/>
        <w:insideH w:val="single" w:color="416429" w:sz="4" w:space="0"/>
        <w:insideV w:val="single" w:color="41642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Bordered"/>
    <w:basedOn w:val="831"/>
    <w:next w:val="983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- Accent 1"/>
    <w:basedOn w:val="831"/>
    <w:next w:val="984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bcd6ee" w:sz="4" w:space="0"/>
        <w:left w:val="single" w:color="bcd6ee" w:sz="4" w:space="0"/>
        <w:bottom w:val="single" w:color="bcd6ee" w:sz="4" w:space="0"/>
        <w:right w:val="single" w:color="bcd6ee" w:sz="4" w:space="0"/>
        <w:insideH w:val="single" w:color="bcd6ee" w:sz="4" w:space="0"/>
        <w:insideV w:val="single" w:color="bcd6e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- Accent 2"/>
    <w:basedOn w:val="831"/>
    <w:next w:val="985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7caab" w:sz="4" w:space="0"/>
        <w:left w:val="single" w:color="f7caab" w:sz="4" w:space="0"/>
        <w:bottom w:val="single" w:color="f7caab" w:sz="4" w:space="0"/>
        <w:right w:val="single" w:color="f7caab" w:sz="4" w:space="0"/>
        <w:insideH w:val="single" w:color="f7caab" w:sz="4" w:space="0"/>
        <w:insideV w:val="single" w:color="f7caa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- Accent 3"/>
    <w:basedOn w:val="831"/>
    <w:next w:val="986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dadada" w:sz="4" w:space="0"/>
        <w:left w:val="single" w:color="dadada" w:sz="4" w:space="0"/>
        <w:bottom w:val="single" w:color="dadada" w:sz="4" w:space="0"/>
        <w:right w:val="single" w:color="dadada" w:sz="4" w:space="0"/>
        <w:insideH w:val="single" w:color="dadada" w:sz="4" w:space="0"/>
        <w:insideV w:val="single" w:color="dadad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- Accent 4"/>
    <w:basedOn w:val="831"/>
    <w:next w:val="987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ffe598" w:sz="4" w:space="0"/>
        <w:left w:val="single" w:color="ffe598" w:sz="4" w:space="0"/>
        <w:bottom w:val="single" w:color="ffe598" w:sz="4" w:space="0"/>
        <w:right w:val="single" w:color="ffe598" w:sz="4" w:space="0"/>
        <w:insideH w:val="single" w:color="ffe598" w:sz="4" w:space="0"/>
        <w:insideV w:val="single" w:color="ffe5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- Accent 5"/>
    <w:basedOn w:val="831"/>
    <w:next w:val="988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b3c5e7" w:sz="4" w:space="0"/>
        <w:left w:val="single" w:color="b3c5e7" w:sz="4" w:space="0"/>
        <w:bottom w:val="single" w:color="b3c5e7" w:sz="4" w:space="0"/>
        <w:right w:val="single" w:color="b3c5e7" w:sz="4" w:space="0"/>
        <w:insideH w:val="single" w:color="b3c5e7" w:sz="4" w:space="0"/>
        <w:insideV w:val="single" w:color="b3c5e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- Accent 6"/>
    <w:basedOn w:val="831"/>
    <w:next w:val="989"/>
    <w:link w:val="792"/>
    <w:uiPriority w:val="99"/>
    <w:pPr>
      <w:pBdr/>
      <w:spacing/>
      <w:ind/>
    </w:pPr>
    <w:tblPr>
      <w:tblStyleRowBandSize w:val="1"/>
      <w:tblStyleColBandSize w:val="1"/>
      <w:tblW w:w="0" w:type="auto"/>
      <w:tblBorders>
        <w:top w:val="single" w:color="c4dfb2" w:sz="4" w:space="0"/>
        <w:left w:val="single" w:color="c4dfb2" w:sz="4" w:space="0"/>
        <w:bottom w:val="single" w:color="c4dfb2" w:sz="4" w:space="0"/>
        <w:right w:val="single" w:color="c4dfb2" w:sz="4" w:space="0"/>
        <w:insideH w:val="single" w:color="c4dfb2" w:sz="4" w:space="0"/>
        <w:insideV w:val="single" w:color="c4df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90">
    <w:name w:val="Гиперссылка1"/>
    <w:next w:val="990"/>
    <w:link w:val="792"/>
    <w:uiPriority w:val="99"/>
    <w:unhideWhenUsed/>
    <w:pPr>
      <w:pBdr/>
      <w:spacing/>
      <w:ind/>
    </w:pPr>
    <w:rPr>
      <w:color w:val="0563c1"/>
      <w:u w:val="single"/>
    </w:rPr>
  </w:style>
  <w:style w:type="paragraph" w:styleId="991">
    <w:name w:val="Текст сноски1"/>
    <w:basedOn w:val="792"/>
    <w:next w:val="991"/>
    <w:link w:val="992"/>
    <w:uiPriority w:val="99"/>
    <w:semiHidden/>
    <w:unhideWhenUsed/>
    <w:pPr>
      <w:pBdr/>
      <w:spacing w:after="40" w:line="240" w:lineRule="auto"/>
      <w:ind/>
    </w:pPr>
    <w:rPr>
      <w:rFonts w:cs="Times New Roman"/>
      <w:sz w:val="18"/>
      <w:szCs w:val="20"/>
      <w:lang w:val="en-US" w:eastAsia="en-US"/>
    </w:rPr>
  </w:style>
  <w:style w:type="character" w:styleId="992">
    <w:name w:val="Текст сноски Знак"/>
    <w:next w:val="992"/>
    <w:link w:val="991"/>
    <w:uiPriority w:val="99"/>
    <w:pPr>
      <w:pBdr/>
      <w:spacing/>
      <w:ind/>
    </w:pPr>
    <w:rPr>
      <w:sz w:val="18"/>
    </w:rPr>
  </w:style>
  <w:style w:type="character" w:styleId="993">
    <w:name w:val="Знак сноски1"/>
    <w:basedOn w:val="830"/>
    <w:next w:val="993"/>
    <w:link w:val="792"/>
    <w:uiPriority w:val="99"/>
    <w:unhideWhenUsed/>
    <w:pPr>
      <w:pBdr/>
      <w:spacing/>
      <w:ind/>
    </w:pPr>
    <w:rPr>
      <w:vertAlign w:val="superscript"/>
    </w:rPr>
  </w:style>
  <w:style w:type="paragraph" w:styleId="994">
    <w:name w:val="Текст концевой сноски1"/>
    <w:basedOn w:val="792"/>
    <w:next w:val="994"/>
    <w:link w:val="995"/>
    <w:uiPriority w:val="99"/>
    <w:semiHidden/>
    <w:unhideWhenUsed/>
    <w:pPr>
      <w:pBdr/>
      <w:spacing w:after="0" w:line="240" w:lineRule="auto"/>
      <w:ind/>
    </w:pPr>
    <w:rPr>
      <w:rFonts w:cs="Times New Roman"/>
      <w:sz w:val="20"/>
      <w:szCs w:val="20"/>
      <w:lang w:val="en-US" w:eastAsia="en-US"/>
    </w:rPr>
  </w:style>
  <w:style w:type="character" w:styleId="995">
    <w:name w:val="Текст концевой сноски Знак"/>
    <w:next w:val="995"/>
    <w:link w:val="994"/>
    <w:uiPriority w:val="99"/>
    <w:pPr>
      <w:pBdr/>
      <w:spacing/>
      <w:ind/>
    </w:pPr>
    <w:rPr>
      <w:sz w:val="20"/>
    </w:rPr>
  </w:style>
  <w:style w:type="character" w:styleId="996">
    <w:name w:val="Знак концевой сноски1"/>
    <w:basedOn w:val="830"/>
    <w:next w:val="996"/>
    <w:link w:val="792"/>
    <w:uiPriority w:val="99"/>
    <w:semiHidden/>
    <w:unhideWhenUsed/>
    <w:pPr>
      <w:pBdr/>
      <w:spacing/>
      <w:ind/>
    </w:pPr>
    <w:rPr>
      <w:vertAlign w:val="superscript"/>
    </w:rPr>
  </w:style>
  <w:style w:type="paragraph" w:styleId="997">
    <w:name w:val="Оглавление 11"/>
    <w:basedOn w:val="792"/>
    <w:next w:val="792"/>
    <w:link w:val="792"/>
    <w:uiPriority w:val="39"/>
    <w:unhideWhenUsed/>
    <w:pPr>
      <w:pBdr/>
      <w:spacing w:after="57"/>
      <w:ind/>
    </w:pPr>
  </w:style>
  <w:style w:type="paragraph" w:styleId="998">
    <w:name w:val="Оглавление 21"/>
    <w:basedOn w:val="792"/>
    <w:next w:val="792"/>
    <w:link w:val="792"/>
    <w:uiPriority w:val="39"/>
    <w:unhideWhenUsed/>
    <w:pPr>
      <w:pBdr/>
      <w:spacing w:after="57"/>
      <w:ind w:left="283"/>
    </w:pPr>
  </w:style>
  <w:style w:type="paragraph" w:styleId="999">
    <w:name w:val="Оглавление 31"/>
    <w:basedOn w:val="792"/>
    <w:next w:val="792"/>
    <w:link w:val="792"/>
    <w:uiPriority w:val="39"/>
    <w:unhideWhenUsed/>
    <w:pPr>
      <w:pBdr/>
      <w:spacing w:after="57"/>
      <w:ind w:left="567"/>
    </w:pPr>
  </w:style>
  <w:style w:type="paragraph" w:styleId="1000">
    <w:name w:val="Оглавление 41"/>
    <w:basedOn w:val="792"/>
    <w:next w:val="792"/>
    <w:link w:val="792"/>
    <w:uiPriority w:val="39"/>
    <w:unhideWhenUsed/>
    <w:pPr>
      <w:pBdr/>
      <w:spacing w:after="57"/>
      <w:ind w:left="850"/>
    </w:pPr>
  </w:style>
  <w:style w:type="paragraph" w:styleId="1001">
    <w:name w:val="Оглавление 51"/>
    <w:basedOn w:val="792"/>
    <w:next w:val="792"/>
    <w:link w:val="792"/>
    <w:uiPriority w:val="39"/>
    <w:unhideWhenUsed/>
    <w:pPr>
      <w:pBdr/>
      <w:spacing w:after="57"/>
      <w:ind w:left="1134"/>
    </w:pPr>
  </w:style>
  <w:style w:type="paragraph" w:styleId="1002">
    <w:name w:val="Оглавление 61"/>
    <w:basedOn w:val="792"/>
    <w:next w:val="792"/>
    <w:link w:val="792"/>
    <w:uiPriority w:val="39"/>
    <w:unhideWhenUsed/>
    <w:pPr>
      <w:pBdr/>
      <w:spacing w:after="57"/>
      <w:ind w:left="1417"/>
    </w:pPr>
  </w:style>
  <w:style w:type="paragraph" w:styleId="1003">
    <w:name w:val="Оглавление 71"/>
    <w:basedOn w:val="792"/>
    <w:next w:val="792"/>
    <w:link w:val="792"/>
    <w:uiPriority w:val="39"/>
    <w:unhideWhenUsed/>
    <w:pPr>
      <w:pBdr/>
      <w:spacing w:after="57"/>
      <w:ind w:left="1701"/>
    </w:pPr>
  </w:style>
  <w:style w:type="paragraph" w:styleId="1004">
    <w:name w:val="Оглавление 81"/>
    <w:basedOn w:val="792"/>
    <w:next w:val="792"/>
    <w:link w:val="792"/>
    <w:uiPriority w:val="39"/>
    <w:unhideWhenUsed/>
    <w:pPr>
      <w:pBdr/>
      <w:spacing w:after="57"/>
      <w:ind w:left="1984"/>
    </w:pPr>
  </w:style>
  <w:style w:type="paragraph" w:styleId="1005">
    <w:name w:val="Оглавление 91"/>
    <w:basedOn w:val="792"/>
    <w:next w:val="792"/>
    <w:link w:val="792"/>
    <w:uiPriority w:val="39"/>
    <w:unhideWhenUsed/>
    <w:pPr>
      <w:pBdr/>
      <w:spacing w:after="57"/>
      <w:ind w:left="2268"/>
    </w:pPr>
  </w:style>
  <w:style w:type="paragraph" w:styleId="1006">
    <w:name w:val="Заголовок оглавления1"/>
    <w:next w:val="1006"/>
    <w:link w:val="792"/>
    <w:uiPriority w:val="39"/>
    <w:unhideWhenUsed/>
    <w:pPr>
      <w:pBdr/>
      <w:spacing w:after="160" w:line="259" w:lineRule="auto"/>
      <w:ind/>
    </w:pPr>
    <w:rPr>
      <w:sz w:val="22"/>
      <w:szCs w:val="22"/>
      <w:lang w:val="ru-RU" w:eastAsia="en-US" w:bidi="ar-SA"/>
    </w:rPr>
  </w:style>
  <w:style w:type="paragraph" w:styleId="1007">
    <w:name w:val="Абзац списка1"/>
    <w:next w:val="1007"/>
    <w:link w:val="79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line="276" w:lineRule="auto"/>
      <w:ind w:left="720"/>
      <w:contextualSpacing w:val="true"/>
    </w:pPr>
    <w:rPr>
      <w:sz w:val="22"/>
      <w:szCs w:val="22"/>
      <w:lang w:val="uk-UA" w:eastAsia="en-US" w:bidi="ar-SA"/>
    </w:rPr>
  </w:style>
  <w:style w:type="paragraph" w:styleId="1008">
    <w:name w:val="Обычный (веб)1"/>
    <w:basedOn w:val="792"/>
    <w:next w:val="1008"/>
    <w:link w:val="792"/>
    <w:semiHidden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/>
      <w:sz w:val="24"/>
      <w:szCs w:val="24"/>
      <w:lang w:eastAsia="uk-UA" w:bidi="en-US"/>
    </w:rPr>
  </w:style>
  <w:style w:type="character" w:styleId="1009">
    <w:name w:val="docdata"/>
    <w:basedOn w:val="830"/>
    <w:next w:val="1009"/>
    <w:link w:val="792"/>
    <w:pPr>
      <w:pBdr/>
      <w:spacing/>
      <w:ind/>
    </w:pPr>
  </w:style>
  <w:style w:type="character" w:styleId="1010">
    <w:name w:val="Основной текст (4) + Times New Roman;14 pt"/>
    <w:basedOn w:val="830"/>
    <w:next w:val="1010"/>
    <w:link w:val="792"/>
    <w:pPr>
      <w:pBdr/>
      <w:spacing/>
      <w:ind/>
    </w:pPr>
    <w:rPr>
      <w:rFonts w:ascii="Times New Roman" w:hAnsi="Times New Roman" w:eastAsia="Times New Roman" w:cs="Times New Roman"/>
      <w:color w:val="000000"/>
      <w:spacing w:val="0"/>
      <w:position w:val="0"/>
      <w:sz w:val="28"/>
      <w:szCs w:val="28"/>
      <w:shd w:val="clear" w:color="ffffff" w:fill="ffffff"/>
      <w:lang w:val="uk-UA" w:eastAsia="uk-UA" w:bidi="uk-U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СТАЛЬНИЧЕНКО Юрій Валерійович</cp:lastModifiedBy>
  <cp:revision>11</cp:revision>
  <dcterms:created xsi:type="dcterms:W3CDTF">2024-11-25T07:01:00Z</dcterms:created>
  <dcterms:modified xsi:type="dcterms:W3CDTF">2024-12-21T16:19:35Z</dcterms:modified>
  <cp:version>786432</cp:version>
</cp:coreProperties>
</file>