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after="0" w:before="0"/>
        <w:ind w:right="-2" w:firstLine="0" w:left="5669"/>
        <w:jc w:val="both"/>
        <w:rPr/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                                                                                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Додаток 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after="0" w:before="0"/>
        <w:ind w:right="-2" w:firstLine="0" w:left="5669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до рішення 56 сесії Менської міської ради 8 скликання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after="0" w:before="0"/>
        <w:ind w:right="-2" w:firstLine="0" w:left="5669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19 грудня</w:t>
      </w:r>
      <w:r>
        <w:rPr>
          <w:rFonts w:ascii="Times New Roman" w:hAnsi="Times New Roman" w:eastAsia="Times New Roman" w:cs="Times New Roman"/>
          <w:color w:val="ff0000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2024 року №726 </w:t>
      </w:r>
      <w:r/>
    </w:p>
    <w:p>
      <w:pPr>
        <w:pBdr/>
        <w:spacing/>
        <w:ind w:right="1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 w:left="6520"/>
        <w:jc w:val="right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 Програма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«У</w:t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правління майном ком</w:t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унальної власності</w:t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 Менської міської територіальної громади на 2025-2027 роки» </w:t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center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left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center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м. Мена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center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2024 рік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tabs>
          <w:tab w:val="left" w:leader="none" w:pos="5576"/>
        </w:tabs>
        <w:spacing w:after="100" w:afterAutospacing="1" w:before="100" w:beforeAutospacing="1"/>
        <w:ind/>
        <w:jc w:val="center"/>
        <w:rPr>
          <w:rFonts w:ascii="Times New Roman" w:hAnsi="Times New Roman" w:eastAsia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sz w:val="28"/>
          <w:szCs w:val="28"/>
          <w:lang w:val="uk-UA" w:eastAsia="ru-RU"/>
        </w:rPr>
        <w:t xml:space="preserve">Зміст</w:t>
      </w:r>
      <w:r>
        <w:rPr>
          <w:rFonts w:ascii="Times New Roman" w:hAnsi="Times New Roman" w:eastAsia="Times New Roman"/>
          <w:b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sz w:val="28"/>
          <w:szCs w:val="28"/>
          <w:lang w:val="uk-UA" w:eastAsia="ru-RU"/>
        </w:rPr>
      </w:r>
    </w:p>
    <w:p>
      <w:pPr>
        <w:pStyle w:val="769"/>
        <w:numPr>
          <w:ilvl w:val="0"/>
          <w:numId w:val="20"/>
        </w:numPr>
        <w:pBdr/>
        <w:spacing/>
        <w:ind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Паспорт Програми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numPr>
          <w:ilvl w:val="0"/>
          <w:numId w:val="20"/>
        </w:numPr>
        <w:pBdr/>
        <w:spacing/>
        <w:ind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Обґрунтування необхідності прийняття Програми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numPr>
          <w:ilvl w:val="0"/>
          <w:numId w:val="20"/>
        </w:numPr>
        <w:pBdr/>
        <w:spacing/>
        <w:ind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Мета Програми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numPr>
          <w:ilvl w:val="0"/>
          <w:numId w:val="20"/>
        </w:numPr>
        <w:pBdr/>
        <w:spacing/>
        <w:ind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Основні напрямки Програми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numPr>
          <w:ilvl w:val="0"/>
          <w:numId w:val="20"/>
        </w:numPr>
        <w:pBdr/>
        <w:spacing/>
        <w:ind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Заходи щодо реалізації Програми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numPr>
          <w:ilvl w:val="0"/>
          <w:numId w:val="20"/>
        </w:numPr>
        <w:pBdr/>
        <w:spacing/>
        <w:ind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Фінансування Програми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numPr>
          <w:ilvl w:val="0"/>
          <w:numId w:val="20"/>
        </w:numPr>
        <w:pBdr/>
        <w:spacing/>
        <w:ind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Очікувані результати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numPr>
          <w:ilvl w:val="0"/>
          <w:numId w:val="20"/>
        </w:numPr>
        <w:pBdr/>
        <w:spacing/>
        <w:ind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Координація та контроль за ходом виконання Програми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    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9. Ефективність та моніторинг заходів передбачених Програмою</w:t>
      </w:r>
      <w:r>
        <w:rPr>
          <w:rFonts w:ascii="Times New Roman" w:hAnsi="Times New Roman" w:eastAsia="Times New Roman"/>
          <w:sz w:val="28"/>
          <w:szCs w:val="28"/>
          <w:lang w:val="uk-UA"/>
        </w:rPr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769"/>
        <w:pBdr/>
        <w:spacing/>
        <w:ind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00" w:afterAutospacing="1" w:before="100" w:beforeAutospacing="1"/>
        <w:ind w:left="360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00" w:afterAutospacing="1" w:before="100" w:beforeAutospacing="1"/>
        <w:ind w:left="360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00" w:afterAutospacing="1" w:before="100" w:beforeAutospacing="1"/>
        <w:ind w:left="360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00" w:afterAutospacing="1" w:before="100" w:beforeAutospacing="1"/>
        <w:ind w:left="360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00" w:afterAutospacing="1" w:before="100" w:beforeAutospacing="1"/>
        <w:ind w:left="360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00" w:afterAutospacing="1" w:before="100" w:beforeAutospacing="1"/>
        <w:ind w:left="360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00" w:afterAutospacing="1" w:before="100" w:beforeAutospacing="1"/>
        <w:ind w:left="360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00" w:afterAutospacing="1" w:before="100" w:beforeAutospacing="1"/>
        <w:ind w:left="360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00" w:afterAutospacing="1" w:before="100" w:beforeAutospacing="1"/>
        <w:ind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00" w:afterAutospacing="1" w:before="100" w:beforeAutospacing="1"/>
        <w:ind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00" w:afterAutospacing="1" w:before="100" w:beforeAutospacing="1"/>
        <w:ind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numPr>
          <w:ilvl w:val="0"/>
          <w:numId w:val="22"/>
        </w:numPr>
        <w:pBdr/>
        <w:shd w:val="clear" w:color="auto" w:fill="ffffff"/>
        <w:spacing w:after="150"/>
        <w:ind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Паспорт Програми</w:t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«У</w:t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правління майном комунальної власності</w:t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 Менської міської територіальної громади на 2025-2027 роки»</w:t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tbl>
      <w:tblPr>
        <w:tblW w:w="0" w:type="auto"/>
        <w:tblInd w:w="2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941"/>
        <w:gridCol w:w="3050"/>
        <w:gridCol w:w="5648"/>
      </w:tblGrid>
      <w:tr>
        <w:trPr/>
        <w:tc>
          <w:tcPr>
            <w:tcBorders/>
            <w:tcW w:w="950" w:type="dxa"/>
            <w:textDirection w:val="lrTb"/>
            <w:noWrap/>
          </w:tcPr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W w:w="3084" w:type="dxa"/>
            <w:textDirection w:val="lrTb"/>
            <w:noWrap/>
          </w:tcPr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 w:eastAsia="ru-RU"/>
              </w:rPr>
              <w:t xml:space="preserve">Ініціатор розроблення Програми</w:t>
            </w:r>
            <w:r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W w:w="5713" w:type="dxa"/>
            <w:textDirection w:val="lrTb"/>
            <w:noWrap/>
          </w:tcPr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Менська міська рада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</w:p>
        </w:tc>
      </w:tr>
      <w:tr>
        <w:trPr/>
        <w:tc>
          <w:tcPr>
            <w:tcBorders/>
            <w:tcW w:w="950" w:type="dxa"/>
            <w:textDirection w:val="lrTb"/>
            <w:noWrap/>
          </w:tcPr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W w:w="3084" w:type="dxa"/>
            <w:textDirection w:val="lrTb"/>
            <w:noWrap/>
          </w:tcPr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 w:eastAsia="ru-RU"/>
              </w:rPr>
              <w:t xml:space="preserve">Розпорядчі документи, на основі яких розроблена Програма</w:t>
            </w:r>
            <w:r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W w:w="5713" w:type="dxa"/>
            <w:textDirection w:val="lrTb"/>
            <w:noWrap/>
          </w:tcPr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 w:eastAsia="ru-RU"/>
              </w:rPr>
              <w:t xml:space="preserve">Бюджетний кодекс України, Цивільний кодекс У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 w:eastAsia="ru-RU"/>
              </w:rPr>
              <w:t xml:space="preserve">країни та Господарський кодекс України, Закон України «Про місцеве самоврядування в Україні», законодавчі акти в сфері управління та розпорядження майна</w:t>
            </w:r>
            <w:r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r>
          </w:p>
        </w:tc>
      </w:tr>
      <w:tr>
        <w:trPr/>
        <w:tc>
          <w:tcPr>
            <w:tcBorders/>
            <w:tcW w:w="950" w:type="dxa"/>
            <w:textDirection w:val="lrTb"/>
            <w:noWrap/>
          </w:tcPr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W w:w="3084" w:type="dxa"/>
            <w:textDirection w:val="lrTb"/>
            <w:noWrap/>
          </w:tcPr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 w:eastAsia="ru-RU"/>
              </w:rPr>
              <w:t xml:space="preserve">Розробник Програми</w:t>
            </w:r>
            <w:r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W w:w="5713" w:type="dxa"/>
            <w:textDirection w:val="lrTb"/>
            <w:noWrap/>
          </w:tcPr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Відділ житлово-комунального господарства та комунального майна 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</w:p>
        </w:tc>
      </w:tr>
      <w:tr>
        <w:trPr/>
        <w:tc>
          <w:tcPr>
            <w:tcBorders/>
            <w:tcW w:w="950" w:type="dxa"/>
            <w:textDirection w:val="lrTb"/>
            <w:noWrap/>
          </w:tcPr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W w:w="3084" w:type="dxa"/>
            <w:textDirection w:val="lrTb"/>
            <w:noWrap/>
          </w:tcPr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 w:eastAsia="ru-RU"/>
              </w:rPr>
              <w:t xml:space="preserve">Відповідальний виконавець Програми</w:t>
            </w:r>
            <w:r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W w:w="5713" w:type="dxa"/>
            <w:textDirection w:val="lrTb"/>
            <w:noWrap/>
          </w:tcPr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Менська міська рада 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 w:eastAsia="ru-RU"/>
              </w:rPr>
              <w:t xml:space="preserve">та її структурні підрозділи, балансоутримувачі майна комунальної власності територіальної громади</w:t>
            </w:r>
            <w:r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r>
          </w:p>
        </w:tc>
      </w:tr>
      <w:tr>
        <w:trPr/>
        <w:tc>
          <w:tcPr>
            <w:tcBorders/>
            <w:tcW w:w="950" w:type="dxa"/>
            <w:textDirection w:val="lrTb"/>
            <w:noWrap/>
          </w:tcPr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W w:w="3084" w:type="dxa"/>
            <w:textDirection w:val="lrTb"/>
            <w:noWrap/>
          </w:tcPr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 w:eastAsia="ru-RU"/>
              </w:rPr>
              <w:t xml:space="preserve">Учасники Програми</w:t>
            </w:r>
            <w:r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W w:w="5713" w:type="dxa"/>
            <w:textDirection w:val="lrTb"/>
            <w:noWrap/>
          </w:tcPr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Менська міська рада </w:t>
            </w:r>
            <w:r>
              <w:rPr>
                <w:rFonts w:ascii="Times New Roman" w:hAnsi="Times New Roman" w:eastAsia="Times New Roman"/>
                <w:sz w:val="28"/>
                <w:szCs w:val="28"/>
                <w:lang w:val="uk-UA" w:eastAsia="ru-RU"/>
              </w:rPr>
              <w:t xml:space="preserve">та її структурні підрозділи, балансоутримувачі майна комунальної власності територіальної громади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</w:p>
        </w:tc>
      </w:tr>
      <w:tr>
        <w:trPr/>
        <w:tc>
          <w:tcPr>
            <w:tcBorders/>
            <w:tcW w:w="950" w:type="dxa"/>
            <w:textDirection w:val="lrTb"/>
            <w:noWrap/>
          </w:tcPr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W w:w="3084" w:type="dxa"/>
            <w:textDirection w:val="lrTb"/>
            <w:noWrap/>
          </w:tcPr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 w:eastAsia="ru-RU"/>
              </w:rPr>
              <w:t xml:space="preserve">Термін реалізації Програми</w:t>
            </w:r>
            <w:r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W w:w="5713" w:type="dxa"/>
            <w:textDirection w:val="lrTb"/>
            <w:noWrap/>
          </w:tcPr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2025-2027 роки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</w:p>
        </w:tc>
      </w:tr>
      <w:tr>
        <w:trPr/>
        <w:tc>
          <w:tcPr>
            <w:tcBorders/>
            <w:tcW w:w="950" w:type="dxa"/>
            <w:textDirection w:val="lrTb"/>
            <w:noWrap/>
          </w:tcPr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W w:w="3084" w:type="dxa"/>
            <w:textDirection w:val="lrTb"/>
            <w:noWrap/>
          </w:tcPr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  <w:lang w:val="uk-UA" w:eastAsia="ru-RU"/>
              </w:rPr>
              <w:t xml:space="preserve">Загальний обсяг фінансових ресурсів, необхідних для реалізації Програми, всього</w:t>
            </w:r>
            <w:r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W w:w="5713" w:type="dxa"/>
            <w:textDirection w:val="lrTb"/>
            <w:noWrap/>
          </w:tcPr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0 000  грн.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</w:p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2025 рік – 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00 000 грн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</w:p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2026 рік – 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0 000 грн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</w:p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 2027 рік – 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00 000 грн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</w:p>
        </w:tc>
      </w:tr>
      <w:tr>
        <w:trPr/>
        <w:tc>
          <w:tcPr>
            <w:tcBorders/>
            <w:tcW w:w="950" w:type="dxa"/>
            <w:textDirection w:val="lrTb"/>
            <w:noWrap/>
          </w:tcPr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7.1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W w:w="3084" w:type="dxa"/>
            <w:textDirection w:val="lrTb"/>
            <w:noWrap/>
          </w:tcPr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У тому числі коштів бюджету Менської міської територіальної громади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W w:w="5713" w:type="dxa"/>
            <w:textDirection w:val="lrTb"/>
            <w:noWrap/>
          </w:tcPr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750 000  грн.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</w:p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2025 рік – 200 000 грн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</w:p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2026 рік – 250 000 грн</w:t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</w:r>
          </w:p>
          <w:p>
            <w:pPr>
              <w:pBdr/>
              <w:spacing w:after="150"/>
              <w:ind/>
              <w:jc w:val="center"/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eastAsia="Times New Roman"/>
                <w:bCs/>
                <w:sz w:val="28"/>
                <w:szCs w:val="28"/>
                <w:lang w:val="uk-UA" w:eastAsia="ru-RU"/>
              </w:rPr>
              <w:t xml:space="preserve">2027 рік – 300 000 грн</w:t>
            </w:r>
            <w:r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8"/>
                <w:szCs w:val="28"/>
                <w:lang w:val="uk-UA" w:eastAsia="ru-RU"/>
              </w:rPr>
            </w:r>
          </w:p>
        </w:tc>
      </w:tr>
    </w:tbl>
    <w:p>
      <w:pPr>
        <w:pBdr/>
        <w:shd w:val="clear" w:color="auto" w:fill="ffffff"/>
        <w:spacing w:after="150"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Примітка: обсяги фінансових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 ресурсів можуть коригуватись.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numPr>
          <w:ilvl w:val="0"/>
          <w:numId w:val="22"/>
        </w:numPr>
        <w:pBdr/>
        <w:shd w:val="clear" w:color="auto" w:fill="ffffff"/>
        <w:spacing w:after="100" w:afterAutospacing="1" w:before="100" w:beforeAutospacing="1"/>
        <w:ind/>
        <w:jc w:val="center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Обґрунтування необхідності прийняття Програми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 w:firstLine="360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Програма 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«У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правління  майном комунальної власності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» Менської міської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  територіальної громади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на 2025-2027 роки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(надалі – Програма) розроблена відповідно до Закону України «Про місцеве самоврядування в Україні», Бюджетного кодексу України, Закону України «Про передачу об’єктів права</w:t>
      </w:r>
      <w:r>
        <w:rPr>
          <w:lang w:val="uk-UA" w:eastAsia="ru-RU"/>
        </w:rPr>
        <w:t xml:space="preserve"> 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державної  та комунальної власності», Закону України «Про оренду державного та кому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нального майна», Закону України «Про приватизацію державного і комунального майна», Цивільного кодексу України та Господарського кодексу України.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Необхідність розроблення Програми зумовлена забезпеченням прозорості прийняття управлінських рішень щодо майна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комунальної власності територіальної громади (далі – комунальне майно), що досягається чітко визначеними у Програмі цілями і завданнями, на досягнення яких витрачаються бюджетні кошти, підвищенням рівня контролю за фінансово-господарською діяльністю комун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альних підприємств, установ та організацій територіальної громади (далі – комунальні підприємства, установи та організації).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Програма визначає основну мету, завдання, способи реалізації функцій з управління комунальним майном територіальної громади та поря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док їх фінансування.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Нині, враховуючи фінансово-економічну кризу, суттєве зростання ринкової вартості нерухомого майна та енергоносіїв, питання ефективного та раціонального використання майна територіальної громади стає особливо актуальним.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Менська міська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рада відповідно до чинного законодавства України здійснює реалізацію політики територіальної громади щодо ефективного управління об’єктами комунальної власності у сфері утримання, володіння, розпорядження, відчуження та оренди комунального майна, виявлення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та прийняття безхазяйного майна, прийняття та передачу комунального майна. Менська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міська рада здійснює управління майном комунальної власності в межах повноважень чинного законодавства України та власних нормативних актів.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 w:firstLine="360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Для ефективного управління об’є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ктами комунальної власності у сфері відчуження, оренди та використання комунального майна територіальної громади, що забезпечить стабільне надходження до бюджету територіальної громади коштів за рахунок продажу майна та передачі його в оренду, необхідно св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оєчасне виділення бюджетних асигнувань з міського бюджету.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    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numPr>
          <w:ilvl w:val="0"/>
          <w:numId w:val="12"/>
        </w:numPr>
        <w:pBdr/>
        <w:shd w:val="clear" w:color="auto" w:fill="ffffff"/>
        <w:spacing w:after="100" w:afterAutospacing="1" w:before="100" w:beforeAutospacing="1"/>
        <w:ind/>
        <w:jc w:val="center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Мета Програми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 w:firstLine="360"/>
        <w:jc w:val="both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Метою Програми є раціональне та ефективне управління майном комунальної власності Менської міської територіальної громади для забезпечення стабільного наповнення дохідної частини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 бюджету громади та для задоволення потреб територіальної громади.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 w:firstLine="360"/>
        <w:jc w:val="both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numPr>
          <w:ilvl w:val="0"/>
          <w:numId w:val="12"/>
        </w:num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Основні  напрямки Програми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Дана Програма спрямована на здійснення управлінських дій щодо майна комунальної власності територіальної громади, а саме: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4.1. Облік майна комунальної власності територіальної громади.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4.2. Утримання в належному стані та використання майна комунальної власності  територіальної громади.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4.3. Передача майна у безоплатне користування, з балансу на баланс підприємств комунальної форми власності (ведення реєстру майна, забезпечення виготовлення технічної та правовстановлюючої документації, тощо).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4.4. Передача майна в оренду, суборенду (здійс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нення необхідних дій, пов’язаних з підготовкою необхідних документів, проведенням оцінки майна, тощо).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4.5. Відчуження майна, продаж, обмін, передача до державної та іншої комунальної власності (визначення об’єктів для відчуження, підготовка необхідного па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кету документів, проведення конкурсів, аукціонів, укладання договорів, друк оголошень, тощо).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4.6. Приймання майна, а саме: набуття права власності шляхом приймання в комунальну власність майна з інших форм власності, придбання, набуття права власності на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безхазяйне майно (нововиявлене, відумерла спадщина, безхазяйне майно, тощо), (підготовка необхідного пакету документів – технічної та правовстановлюючої документації, тощо).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numPr>
          <w:ilvl w:val="0"/>
          <w:numId w:val="14"/>
        </w:numPr>
        <w:pBdr/>
        <w:shd w:val="clear" w:color="auto" w:fill="ffffff"/>
        <w:spacing w:after="100" w:afterAutospacing="1" w:before="100" w:beforeAutospacing="1"/>
        <w:ind/>
        <w:jc w:val="center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Заходи щодо реалізації Програми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i/>
          <w:iCs/>
          <w:sz w:val="28"/>
          <w:szCs w:val="28"/>
          <w:lang w:val="uk-UA" w:eastAsia="ru-RU"/>
        </w:rPr>
        <w:t xml:space="preserve">5.1. Облік майна комунальної власності територіаль</w:t>
      </w:r>
      <w:r>
        <w:rPr>
          <w:rFonts w:ascii="Times New Roman" w:hAnsi="Times New Roman" w:eastAsia="Times New Roman"/>
          <w:b/>
          <w:bCs/>
          <w:i/>
          <w:iCs/>
          <w:sz w:val="28"/>
          <w:szCs w:val="28"/>
          <w:lang w:val="uk-UA" w:eastAsia="ru-RU"/>
        </w:rPr>
        <w:t xml:space="preserve">ної громади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5.1.1. Здійснення оперативного обліку майна комунальної власності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Менської міської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територіальної громади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н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а основі: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numPr>
          <w:ilvl w:val="0"/>
          <w:numId w:val="15"/>
        </w:numPr>
        <w:pBdr/>
        <w:shd w:val="clear" w:color="auto" w:fill="ffffff"/>
        <w:spacing w:after="100" w:afterAutospacing="1" w:before="100" w:beforeAutospacing="1"/>
        <w:ind/>
        <w:jc w:val="both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матеріалів інвентаризації майна, забезпечення контролю за його використанням, збереженням;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numPr>
          <w:ilvl w:val="0"/>
          <w:numId w:val="15"/>
        </w:numPr>
        <w:pBdr/>
        <w:shd w:val="clear" w:color="auto" w:fill="ffffff"/>
        <w:spacing w:after="100" w:afterAutospacing="1" w:before="100" w:beforeAutospacing="1"/>
        <w:ind/>
        <w:jc w:val="both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відслідковування руху майна;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numPr>
          <w:ilvl w:val="0"/>
          <w:numId w:val="15"/>
        </w:numPr>
        <w:pBdr/>
        <w:shd w:val="clear" w:color="auto" w:fill="ffffff"/>
        <w:spacing w:after="100" w:afterAutospacing="1" w:before="100" w:beforeAutospacing="1"/>
        <w:ind/>
        <w:jc w:val="both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проведе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ння або надання дозволу на списання, продаж, обмін та передачу майна, яке знаходиться у комунальних підприємств, організацій та установ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Менської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міської ради на правах господарського відання або оперативного управління, в установленому міською радою порядк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у;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numPr>
          <w:ilvl w:val="0"/>
          <w:numId w:val="15"/>
        </w:numPr>
        <w:pBdr/>
        <w:shd w:val="clear" w:color="auto" w:fill="ffffff"/>
        <w:spacing w:after="100" w:afterAutospacing="1" w:before="100" w:beforeAutospacing="1"/>
        <w:ind/>
        <w:jc w:val="both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оплати робіт з оформлення документації із землеустрою на земельні ділянки, на яких розташоване нерухоме майно комунальної власності територіальної громади;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numPr>
          <w:ilvl w:val="0"/>
          <w:numId w:val="15"/>
        </w:numPr>
        <w:pBdr/>
        <w:shd w:val="clear" w:color="auto" w:fill="ffffff"/>
        <w:spacing w:after="100" w:afterAutospacing="1" w:before="100" w:beforeAutospacing="1"/>
        <w:ind/>
        <w:jc w:val="both"/>
        <w:rPr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оплати робіт щодо обстеження та паспортизації будівель і споруд комунальної власності територіаль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них громад з метою встановлення їх технічного стану та забезпечення їх надійності та безпечної експлуатації;</w:t>
      </w:r>
      <w:r>
        <w:rPr>
          <w:lang w:val="uk-UA"/>
        </w:rPr>
      </w:r>
      <w:r>
        <w:rPr>
          <w:lang w:val="uk-UA"/>
        </w:rPr>
      </w:r>
    </w:p>
    <w:p>
      <w:pPr>
        <w:numPr>
          <w:ilvl w:val="0"/>
          <w:numId w:val="15"/>
        </w:numPr>
        <w:pBdr/>
        <w:shd w:val="clear" w:color="auto" w:fill="ffffff"/>
        <w:spacing w:after="100" w:afterAutospacing="1" w:before="100" w:beforeAutospacing="1"/>
        <w:ind/>
        <w:jc w:val="both"/>
        <w:rPr>
          <w:lang w:val="uk-UA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оплати витрат, пов’язаних із зверненнями до суду та інших витрат, пов’язаних з управлінням комунальним майном та земельними ділянками комунальної в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ласності;</w:t>
      </w:r>
      <w:r>
        <w:rPr>
          <w:lang w:val="uk-UA"/>
        </w:rPr>
      </w:r>
      <w:r>
        <w:rPr>
          <w:lang w:val="uk-UA"/>
        </w:rPr>
      </w:r>
    </w:p>
    <w:p>
      <w:pPr>
        <w:numPr>
          <w:ilvl w:val="0"/>
          <w:numId w:val="15"/>
        </w:numPr>
        <w:pBdr/>
        <w:shd w:val="clear" w:color="auto" w:fill="ffffff"/>
        <w:spacing w:after="100" w:afterAutospacing="1" w:before="100" w:beforeAutospacing="1"/>
        <w:ind/>
        <w:jc w:val="both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забезпечення страхування об’єктів комунальної власності, які не передані в оренду;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numPr>
          <w:ilvl w:val="0"/>
          <w:numId w:val="15"/>
        </w:numPr>
        <w:pBdr/>
        <w:shd w:val="clear" w:color="auto" w:fill="ffffff"/>
        <w:spacing w:after="100" w:afterAutospacing="1" w:before="100" w:beforeAutospacing="1"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послуги організацій та осіб, залучених до процесу оренди та приватизації (інформаційні та консалтингові послуги, проведення аукціонів, конкурсів, проведення аукціо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нів, тощо);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numPr>
          <w:ilvl w:val="0"/>
          <w:numId w:val="15"/>
        </w:numPr>
        <w:pBdr/>
        <w:shd w:val="clear" w:color="auto" w:fill="ffffff"/>
        <w:spacing w:after="100" w:afterAutospacing="1" w:before="100" w:beforeAutospacing="1"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створення, придбання та обслуговування програмного забезпечення;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numPr>
          <w:ilvl w:val="0"/>
          <w:numId w:val="15"/>
        </w:numPr>
        <w:pBdr/>
        <w:shd w:val="clear" w:color="auto" w:fill="ffffff"/>
        <w:spacing w:after="100" w:afterAutospacing="1" w:before="100" w:beforeAutospacing="1"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оплати інших послуг, пов’язаних з управлінням комунальним майном.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5.1.2. Укладення договорів з підприємс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твами, установами, організаціями про закріплення майна комунальної власності (крім об’єктів житлового фонду) на правах господарського відання або оперативного управління на підставі рішення міської ради та відповідно до встановленого міською радою порядку.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5.1.3. Формування єдиного реєстру об’єктів нерухомості комунальної власності.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i/>
          <w:iCs/>
          <w:sz w:val="28"/>
          <w:szCs w:val="28"/>
          <w:lang w:val="uk-UA" w:eastAsia="ru-RU"/>
        </w:rPr>
        <w:t xml:space="preserve">5.2. Утримання в належному стані та використання майна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i/>
          <w:iCs/>
          <w:sz w:val="28"/>
          <w:szCs w:val="28"/>
          <w:lang w:val="uk-UA" w:eastAsia="ru-RU"/>
        </w:rPr>
        <w:t xml:space="preserve">комунальної власності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 w:eastAsia="Times New Roman"/>
          <w:b/>
          <w:bCs/>
          <w:i/>
          <w:iCs/>
          <w:sz w:val="28"/>
          <w:szCs w:val="28"/>
          <w:lang w:val="uk-UA" w:eastAsia="ru-RU"/>
        </w:rPr>
        <w:t xml:space="preserve"> територіальної громади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5.2.1. Виготовлення технічної документації (проведення  поточної  технічної інвентаризації та виготовлення технічних паспортів, довідок, характеристик, тощо) на об’єкти нерухомого майна комунальної форми власності.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5.2.2. Витрати по утриманню в належному с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тані комунального майна (в тому числі страхування, охорона – в разі необхідності).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both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i/>
          <w:iCs/>
          <w:sz w:val="28"/>
          <w:szCs w:val="28"/>
          <w:lang w:val="uk-UA" w:eastAsia="ru-RU"/>
        </w:rPr>
        <w:t xml:space="preserve">5.3. Приймання та передача  майна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5.3.1. Приймання в комунальну власність територіальної громади  об’єктів нерухомого майна, в тому числі, які віднесені до категорії «безх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азяйного» майна, зовнішніх інженерних мереж, об’єктів (елементів) благоустрою.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5.3.2. Приймання об’єктів, у тому числі об’єктів соціально-побутового призначення, зовнішніх мереж еле</w:t>
      </w:r>
      <w:bookmarkStart w:id="0" w:name="_GoBack"/>
      <w:r/>
      <w:bookmarkEnd w:id="0"/>
      <w:r>
        <w:rPr>
          <w:rFonts w:ascii="Times New Roman" w:hAnsi="Times New Roman"/>
          <w:sz w:val="28"/>
          <w:szCs w:val="28"/>
          <w:lang w:val="uk-UA" w:eastAsia="ru-RU"/>
        </w:rPr>
        <w:t xml:space="preserve">ктро-, тепло-, водо-, газопостачання, водовідведення та телефонізації, а та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кож будівель (споруд, приміщень), рухомого майна і іншого окремого індивідуально визначеного майна.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5.3.3. Замовлення оцінки на об’єкти, що приймаються до комунальної власності  територіальної громади.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5.3.4. Отримання  інформаційних  довідок  щодо  власни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ків майна для віднесення нерухомого майна до категорії «безхазяйного», відумерлої спадщини та прийняття майна у комунальну власність територіальної громади. Проведення поточної технічної документації. Замовлення технічної документації на об’єкти нерухомого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майна, що приймаються, тощо.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5.3.5. Замовлення та проведення конкурсного відбору суб’єктів оціночної діяльності для проведення незалежної оцінки, рецензування незалежної оцінки майна, що приймається.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5.3.6. Здійснення   реєстрації   права   власності  на 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нерухоме майно комунальної власності за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Менською міською радою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, набуте шляхом приймання в комунальну власність майна з інших форм власності, придбання, набуття права власності на безхазяйне майно, нововиявлене майно, відумерлу спадщину, тощо.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5.3.7. Оплат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а судових витрат за подання заяв до суду про передачу безхазяйного майна у комунальну власність територіальної громади.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i/>
          <w:iCs/>
          <w:sz w:val="28"/>
          <w:szCs w:val="28"/>
          <w:lang w:val="uk-UA" w:eastAsia="ru-RU"/>
        </w:rPr>
        <w:t xml:space="preserve">5.4. Оренда майна комунальної власності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 w:eastAsia="Times New Roman"/>
          <w:b/>
          <w:bCs/>
          <w:i/>
          <w:iCs/>
          <w:sz w:val="28"/>
          <w:szCs w:val="28"/>
          <w:lang w:val="uk-UA" w:eastAsia="ru-RU"/>
        </w:rPr>
        <w:t xml:space="preserve"> територіальної громади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5.4.1. Виготовлення технічної документації майна, що передається в оре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нду міською радою.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5.4.2. Замовлення оцінки майна комунальної власності, що передається в оренду міською радою, її рецензування.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5.4.3. Забезпечення інформування населення про передачу майна в оренду, суборенду (оголошення, реклама у засобах масової інформ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ації, інформація щодо майна, яке пропонується для передачі в оренду, інформація про результати проведення конкурсів).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5.4.4. Нотаріальні  витрати  (у разі необхідності).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5.4.5. Участь у судових засіданнях (судові витрати).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5.4.6. Замовлення нормативно-грош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ової оцінки земельної ділянки, на якій розташований об’єкт нерухомості комунальної власності.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b/>
          <w:bCs/>
          <w:i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i/>
          <w:iCs/>
          <w:sz w:val="28"/>
          <w:szCs w:val="28"/>
          <w:lang w:val="uk-UA" w:eastAsia="ru-RU"/>
        </w:rPr>
        <w:t xml:space="preserve">5.5. Відчуження майна комунальної власності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 w:eastAsia="Times New Roman"/>
          <w:b/>
          <w:bCs/>
          <w:i/>
          <w:iCs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 w:eastAsia="Times New Roman"/>
          <w:b/>
          <w:bCs/>
          <w:i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i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i/>
          <w:iCs/>
          <w:sz w:val="28"/>
          <w:szCs w:val="28"/>
          <w:lang w:val="uk-UA" w:eastAsia="ru-RU"/>
        </w:rPr>
        <w:t xml:space="preserve">територіальної громади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5.5.1. Формування необхідного пакету правовстановлюючих документів щодо об’єктів нерухомого майна, які будуть відчужуватися.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5.5.2. Замовлення, отримання або впорядкування правовстановлюючих документів на майно, замовлення та отримання витягів з Державного реєстру речових прав на нерухоме майно.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5.5.3. Забезпечення систематичного інформування населення щодо відчуження майна (ого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лошення, повідомлення у засобах масової інформації, інформаційні повідомлення про оголошення конкурсів по відбору суб’єктів оціночної діяльності для проведення оцінки, рецензування незалежної оцінки майна, інформація про аукціон, підсумки проведення аукціо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ну, конкурсу, тощо).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5.5.4. Замовлення та проведення конкурсного відбору суб’єктів оціночної діяльності для проведення незалежної оцінки, рецензування незалежної оцінки майна.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5.5.5. Оплата послуг по оформленню відчуження майна (оформлення документів у дер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жавного реєстратора, сплата державного мита та інших обов’язкових платежів, оплата послуг нотаріуса (у разі необхідності), іншого уповноваженого органу (організації, установи, підприємства), тощо).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i/>
          <w:iCs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i/>
          <w:iCs/>
          <w:sz w:val="28"/>
          <w:szCs w:val="28"/>
          <w:lang w:val="uk-UA" w:eastAsia="ru-RU"/>
        </w:rPr>
        <w:t xml:space="preserve">5.6. Проведення  робіт  із  землеустрою  та експертної г</w:t>
      </w:r>
      <w:r>
        <w:rPr>
          <w:rFonts w:ascii="Times New Roman" w:hAnsi="Times New Roman" w:eastAsia="Times New Roman"/>
          <w:b/>
          <w:bCs/>
          <w:i/>
          <w:iCs/>
          <w:sz w:val="28"/>
          <w:szCs w:val="28"/>
          <w:lang w:val="uk-UA" w:eastAsia="ru-RU"/>
        </w:rPr>
        <w:t xml:space="preserve">рошової оцінки земельних ділянок, які продаються разом з об’єктами відчуження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both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5.6.1. Укладання угод з посередниками (шляхом проведення аукціонів) з продажу об’єктів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 відчуження в порядку, передбаченому чинним законодавством України.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numPr>
          <w:ilvl w:val="0"/>
          <w:numId w:val="16"/>
        </w:numPr>
        <w:pBdr/>
        <w:shd w:val="clear" w:color="auto" w:fill="ffffff"/>
        <w:spacing w:after="100" w:afterAutospacing="1" w:before="100" w:beforeAutospacing="1"/>
        <w:ind/>
        <w:jc w:val="center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Фінансування Програми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 w:firstLine="360"/>
        <w:jc w:val="both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Ф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інансування Програми здійснюватиметься за рахунок коштів бюджету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Менської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 міської територіальної громади та інших не заборонених джерел законодавством. Обсяг фінансування Програми визначається щороку, виходячи з конкретних завдань та реальних можливостей б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юджету.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numPr>
          <w:ilvl w:val="0"/>
          <w:numId w:val="17"/>
        </w:numPr>
        <w:pBdr/>
        <w:shd w:val="clear" w:color="auto" w:fill="ffffff"/>
        <w:spacing w:after="100" w:afterAutospacing="1" w:before="100" w:beforeAutospacing="1"/>
        <w:ind/>
        <w:jc w:val="center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Очікувані результати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 w:firstLine="360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Виконання заходів Програми дозволить: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 w:firstLine="360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–  виконувати завдання та функції  управління майном комунальної власності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Менської міської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територіальної громади, покладених на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Менську міську раду;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 w:firstLine="360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– забезпечити надходження коштів до бюджету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Менської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міської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територіальної громади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від передачі в оренду та відчуження майна комунальної власності;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 w:firstLine="360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–  створити умови для збереження об’єктів комунальної власності та утримання їх в належному технічному ста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ні;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 w:firstLine="360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– підвищити ефективність використання комунального майна шляхом передачі його в оренду фізичним та юридичним особам, з метою задоволення їх прав та інтересів, а також прав та інтересів міської територіальної громади.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 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numPr>
          <w:ilvl w:val="0"/>
          <w:numId w:val="18"/>
        </w:numPr>
        <w:pBdr/>
        <w:shd w:val="clear" w:color="auto" w:fill="ffffff"/>
        <w:spacing w:after="100" w:afterAutospacing="1" w:before="100" w:beforeAutospacing="1"/>
        <w:ind/>
        <w:jc w:val="center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Координація та контроль за ходом </w:t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виконання Програми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 w:firstLine="360"/>
        <w:jc w:val="both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Координація та контроль за ходом виконання Програми здійснюватиметься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Менською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 міською радою в особі профільного заступника міського голови </w:t>
      </w:r>
      <w:r>
        <w:rPr>
          <w:sz w:val="28"/>
          <w:szCs w:val="28"/>
          <w:lang w:val="uk-UA"/>
        </w:rPr>
        <w:t xml:space="preserve">з 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питань діяльності виконавчих органів  ради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.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</w:r>
    </w:p>
    <w:p>
      <w:pPr>
        <w:pBdr/>
        <w:shd w:val="clear" w:color="auto" w:fill="ffffff"/>
        <w:spacing w:after="150"/>
        <w:ind/>
        <w:jc w:val="center"/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  <w:t xml:space="preserve">9. Ефективність та моніторинг заходів передбачених Програмою</w:t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uk-UA" w:eastAsia="ru-RU"/>
        </w:rPr>
      </w:r>
    </w:p>
    <w:p>
      <w:pPr>
        <w:pStyle w:val="769"/>
        <w:numPr>
          <w:ilvl w:val="0"/>
          <w:numId w:val="23"/>
        </w:numPr>
        <w:pBdr/>
        <w:spacing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Збільшення кількості впорядкованих об’єктів комунальної власності в порівнянні з минулим періодом  2022-2024 року.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Style w:val="769"/>
        <w:numPr>
          <w:ilvl w:val="0"/>
          <w:numId w:val="23"/>
        </w:numPr>
        <w:pBdr/>
        <w:spacing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Наявність правовстановлюючих документів на об’єкти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 комунальної власності.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Style w:val="769"/>
        <w:numPr>
          <w:ilvl w:val="0"/>
          <w:numId w:val="23"/>
        </w:numPr>
        <w:pBdr/>
        <w:spacing/>
        <w:ind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Зареєстроване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   право   власності  на  нерухоме майно комунальної власності за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Менською міською радою.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numPr>
          <w:ilvl w:val="0"/>
          <w:numId w:val="23"/>
        </w:numPr>
        <w:pBdr/>
        <w:spacing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Збереження об’єктів комунальної власності.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Style w:val="769"/>
        <w:numPr>
          <w:ilvl w:val="0"/>
          <w:numId w:val="23"/>
        </w:numPr>
        <w:pBdr/>
        <w:spacing/>
        <w:ind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Ефективне використання комунального майна шляхом передачі його в оренду фізичним та юридичним особам.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Начальник від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ділу 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житлово-комунального господарства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та комунального майна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p>
      <w:pPr>
        <w:pStyle w:val="769"/>
        <w:pBdr/>
        <w:spacing/>
        <w:ind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Менської міської ради                                                           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Ірина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ЄКИМЕНКО</w:t>
      </w:r>
      <w:r>
        <w:rPr>
          <w:rFonts w:ascii="Times New Roman" w:hAnsi="Times New Roman"/>
          <w:sz w:val="28"/>
          <w:szCs w:val="28"/>
          <w:lang w:val="uk-UA" w:eastAsia="ru-RU"/>
        </w:rPr>
      </w:r>
      <w:r>
        <w:rPr>
          <w:rFonts w:ascii="Times New Roman" w:hAnsi="Times New Roman"/>
          <w:sz w:val="28"/>
          <w:szCs w:val="28"/>
          <w:lang w:val="uk-UA" w:eastAsia="ru-RU"/>
        </w:rPr>
      </w:r>
    </w:p>
    <w:sectPr>
      <w:headerReference w:type="default" r:id="rId9"/>
      <w:footnotePr/>
      <w:endnotePr/>
      <w:type w:val="nextPage"/>
      <w:pgSz w:h="16838" w:orient="portrait" w:w="11906"/>
      <w:pgMar w:top="1134" w:right="566" w:bottom="426" w:left="1701" w:header="708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5"/>
      <w:pBdr/>
      <w:spacing/>
      <w:ind/>
      <w:jc w:val="right"/>
      <w:rPr>
        <w:rFonts w:ascii="Times New Roman" w:hAnsi="Times New Roman"/>
        <w:i/>
      </w:rPr>
    </w:pPr>
    <w:r>
      <w:rPr>
        <w:lang w:val="uk-UA"/>
      </w:rPr>
      <w:t xml:space="preserve">                                                                        </w:t>
    </w:r>
    <w:r>
      <w:rPr>
        <w:rFonts w:ascii="Times New Roman" w:hAnsi="Times New Roman" w:eastAsia="Times New Roman"/>
        <w:lang w:val="uk-UA"/>
      </w:rPr>
      <w:t xml:space="preserve">   </w:t>
    </w:r>
    <w:r>
      <w:rPr>
        <w:rFonts w:ascii="Times New Roman" w:hAnsi="Times New Roman" w:eastAsia="Times New Roman"/>
      </w:rPr>
      <w:fldChar w:fldCharType="begin"/>
    </w:r>
    <w:r>
      <w:rPr>
        <w:rFonts w:ascii="Times New Roman" w:hAnsi="Times New Roman" w:eastAsia="Times New Roman"/>
      </w:rPr>
      <w:instrText xml:space="preserve"> PAGE   \* MERGEFORMAT </w:instrText>
    </w:r>
    <w:r>
      <w:rPr>
        <w:rFonts w:ascii="Times New Roman" w:hAnsi="Times New Roman" w:eastAsia="Times New Roman"/>
      </w:rPr>
      <w:fldChar w:fldCharType="separate"/>
    </w:r>
    <w:r>
      <w:rPr>
        <w:rFonts w:ascii="Times New Roman" w:hAnsi="Times New Roman" w:eastAsia="Times New Roman"/>
      </w:rPr>
      <w:t xml:space="preserve">4</w:t>
    </w:r>
    <w:r>
      <w:rPr>
        <w:rFonts w:ascii="Times New Roman" w:hAnsi="Times New Roman" w:eastAsia="Times New Roman"/>
      </w:rPr>
      <w:fldChar w:fldCharType="end"/>
    </w:r>
    <w:r>
      <w:rPr>
        <w:rFonts w:ascii="Times New Roman" w:hAnsi="Times New Roman" w:eastAsia="Times New Roman"/>
        <w:lang w:val="uk-UA"/>
      </w:rPr>
      <w:t xml:space="preserve">                                                              </w:t>
    </w:r>
    <w:r>
      <w:rPr>
        <w:rFonts w:ascii="Times New Roman" w:hAnsi="Times New Roman" w:eastAsia="Times New Roman"/>
        <w:i/>
        <w:lang w:val="uk-UA"/>
      </w:rPr>
      <w:t xml:space="preserve">продовження додатка</w:t>
    </w:r>
    <w:r>
      <w:rPr>
        <w:rFonts w:ascii="Times New Roman" w:hAnsi="Times New Roman"/>
        <w:i/>
      </w:rPr>
    </w:r>
    <w:r>
      <w:rPr>
        <w:rFonts w:ascii="Times New Roman" w:hAnsi="Times New Roman"/>
        <w:i/>
      </w:rPr>
    </w:r>
  </w:p>
  <w:p>
    <w:pPr>
      <w:pStyle w:val="775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080"/>
      </w:pPr>
      <w:rPr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2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2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5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9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4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6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7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8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b/>
      </w:rPr>
      <w:start w:val="3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2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9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b/>
      </w:rPr>
      <w:start w:val="7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b/>
      </w:rPr>
      <w:start w:val="8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  <w:sz w:val="20"/>
      </w:rPr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b/>
      </w:rPr>
      <w:start w:val="5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4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3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b/>
      </w:rPr>
      <w:start w:val="6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15"/>
  </w:num>
  <w:num w:numId="2">
    <w:abstractNumId w:val="4"/>
  </w:num>
  <w:num w:numId="3">
    <w:abstractNumId w:val="22"/>
  </w:num>
  <w:num w:numId="4">
    <w:abstractNumId w:val="8"/>
  </w:num>
  <w:num w:numId="5">
    <w:abstractNumId w:val="5"/>
  </w:num>
  <w:num w:numId="6">
    <w:abstractNumId w:val="9"/>
  </w:num>
  <w:num w:numId="7">
    <w:abstractNumId w:val="10"/>
  </w:num>
  <w:num w:numId="8">
    <w:abstractNumId w:val="11"/>
  </w:num>
  <w:num w:numId="9">
    <w:abstractNumId w:val="7"/>
  </w:num>
  <w:num w:numId="10">
    <w:abstractNumId w:val="20"/>
  </w:num>
  <w:num w:numId="11">
    <w:abstractNumId w:val="13"/>
  </w:num>
  <w:num w:numId="12">
    <w:abstractNumId w:val="12"/>
  </w:num>
  <w:num w:numId="13">
    <w:abstractNumId w:val="21"/>
  </w:num>
  <w:num w:numId="14">
    <w:abstractNumId w:val="19"/>
  </w:num>
  <w:num w:numId="15">
    <w:abstractNumId w:val="18"/>
  </w:num>
  <w:num w:numId="16">
    <w:abstractNumId w:val="23"/>
  </w:num>
  <w:num w:numId="17">
    <w:abstractNumId w:val="16"/>
  </w:num>
  <w:num w:numId="18">
    <w:abstractNumId w:val="17"/>
  </w:num>
  <w:num w:numId="19">
    <w:abstractNumId w:val="14"/>
  </w:num>
  <w:num w:numId="20">
    <w:abstractNumId w:val="0"/>
  </w:num>
  <w:num w:numId="21">
    <w:abstractNumId w:val="6"/>
  </w:num>
  <w:num w:numId="22">
    <w:abstractNumId w:val="1"/>
  </w:num>
  <w:num w:numId="23">
    <w:abstractNumId w:val="2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8">
    <w:name w:val="Heading 1 Char"/>
    <w:basedOn w:val="758"/>
    <w:link w:val="74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39">
    <w:name w:val="Heading 2 Char"/>
    <w:basedOn w:val="758"/>
    <w:link w:val="75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40">
    <w:name w:val="Heading 3 Char"/>
    <w:basedOn w:val="758"/>
    <w:link w:val="75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41">
    <w:name w:val="Heading 4 Char"/>
    <w:basedOn w:val="758"/>
    <w:link w:val="75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42">
    <w:name w:val="Heading 5 Char"/>
    <w:basedOn w:val="758"/>
    <w:link w:val="75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43">
    <w:name w:val="Heading 6 Char"/>
    <w:basedOn w:val="758"/>
    <w:link w:val="75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44">
    <w:name w:val="Heading 7 Char"/>
    <w:basedOn w:val="758"/>
    <w:link w:val="75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45">
    <w:name w:val="Heading 8 Char"/>
    <w:basedOn w:val="758"/>
    <w:link w:val="75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46">
    <w:name w:val="Heading 9 Char"/>
    <w:basedOn w:val="758"/>
    <w:link w:val="75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47">
    <w:name w:val="Title Char"/>
    <w:basedOn w:val="758"/>
    <w:link w:val="76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48" w:default="1">
    <w:name w:val="Normal"/>
    <w:qFormat/>
    <w:pPr>
      <w:pBdr/>
      <w:spacing/>
      <w:ind/>
    </w:pPr>
  </w:style>
  <w:style w:type="paragraph" w:styleId="749">
    <w:name w:val="Heading 1"/>
    <w:link w:val="796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</w:rPr>
  </w:style>
  <w:style w:type="paragraph" w:styleId="750">
    <w:name w:val="Heading 2"/>
    <w:link w:val="797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</w:rPr>
  </w:style>
  <w:style w:type="paragraph" w:styleId="751">
    <w:name w:val="Heading 3"/>
    <w:link w:val="79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</w:rPr>
  </w:style>
  <w:style w:type="paragraph" w:styleId="752">
    <w:name w:val="Heading 4"/>
    <w:link w:val="799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</w:rPr>
  </w:style>
  <w:style w:type="paragraph" w:styleId="753">
    <w:name w:val="Heading 5"/>
    <w:link w:val="800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</w:rPr>
  </w:style>
  <w:style w:type="paragraph" w:styleId="754">
    <w:name w:val="Heading 6"/>
    <w:link w:val="801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</w:rPr>
  </w:style>
  <w:style w:type="paragraph" w:styleId="755">
    <w:name w:val="Heading 7"/>
    <w:link w:val="802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56">
    <w:name w:val="Heading 8"/>
    <w:link w:val="803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</w:rPr>
  </w:style>
  <w:style w:type="paragraph" w:styleId="757">
    <w:name w:val="Heading 9"/>
    <w:link w:val="804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</w:rPr>
  </w:style>
  <w:style w:type="character" w:styleId="758" w:default="1">
    <w:name w:val="Default Paragraph Font"/>
    <w:uiPriority w:val="1"/>
    <w:semiHidden/>
    <w:unhideWhenUsed/>
    <w:pPr>
      <w:pBdr/>
      <w:spacing/>
      <w:ind/>
    </w:pPr>
  </w:style>
  <w:style w:type="table" w:styleId="75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0" w:default="1">
    <w:name w:val="No List"/>
    <w:uiPriority w:val="99"/>
    <w:semiHidden/>
    <w:unhideWhenUsed/>
    <w:pPr>
      <w:pBdr/>
      <w:spacing/>
      <w:ind/>
    </w:pPr>
  </w:style>
  <w:style w:type="table" w:styleId="761">
    <w:name w:val="Table Grid"/>
    <w:basedOn w:val="759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2">
    <w:name w:val="Title"/>
    <w:basedOn w:val="748"/>
    <w:next w:val="748"/>
    <w:link w:val="787"/>
    <w:uiPriority w:val="10"/>
    <w:qFormat/>
    <w:pPr>
      <w:pBdr/>
      <w:spacing w:after="80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63">
    <w:name w:val="Subtitle"/>
    <w:basedOn w:val="748"/>
    <w:link w:val="806"/>
    <w:uiPriority w:val="11"/>
    <w:qFormat/>
    <w:pPr>
      <w:pBdr/>
      <w:spacing w:after="200" w:before="200"/>
      <w:ind/>
    </w:pPr>
    <w:rPr>
      <w:sz w:val="24"/>
      <w:szCs w:val="24"/>
      <w:lang w:val="en-US" w:eastAsia="en-US"/>
    </w:rPr>
  </w:style>
  <w:style w:type="paragraph" w:styleId="764">
    <w:name w:val="Quote"/>
    <w:basedOn w:val="748"/>
    <w:link w:val="807"/>
    <w:uiPriority w:val="29"/>
    <w:qFormat/>
    <w:pPr>
      <w:pBdr/>
      <w:spacing/>
      <w:ind w:right="720" w:left="720"/>
    </w:pPr>
    <w:rPr>
      <w:i/>
    </w:rPr>
  </w:style>
  <w:style w:type="paragraph" w:styleId="765">
    <w:name w:val="List Paragraph"/>
    <w:basedOn w:val="748"/>
    <w:uiPriority w:val="34"/>
    <w:qFormat/>
    <w:pPr>
      <w:pBdr/>
      <w:spacing/>
      <w:ind w:left="720"/>
      <w:contextualSpacing w:val="true"/>
    </w:pPr>
  </w:style>
  <w:style w:type="character" w:styleId="766">
    <w:name w:val="Intense Emphasis"/>
    <w:basedOn w:val="758"/>
    <w:uiPriority w:val="21"/>
    <w:qFormat/>
    <w:pPr>
      <w:pBdr/>
      <w:spacing/>
      <w:ind/>
    </w:pPr>
    <w:rPr>
      <w:i/>
      <w:iCs/>
      <w:color w:val="365f91"/>
    </w:rPr>
  </w:style>
  <w:style w:type="paragraph" w:styleId="767">
    <w:name w:val="Intense Quote"/>
    <w:basedOn w:val="748"/>
    <w:link w:val="80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768">
    <w:name w:val="Intense Reference"/>
    <w:basedOn w:val="758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769">
    <w:name w:val="No Spacing"/>
    <w:basedOn w:val="748"/>
    <w:pPr>
      <w:pBdr/>
      <w:spacing/>
      <w:ind/>
    </w:pPr>
    <w:rPr>
      <w:sz w:val="22"/>
      <w:szCs w:val="22"/>
      <w:lang w:eastAsia="en-US"/>
    </w:rPr>
  </w:style>
  <w:style w:type="character" w:styleId="770">
    <w:name w:val="Subtle Emphasis"/>
    <w:basedOn w:val="758"/>
    <w:uiPriority w:val="19"/>
    <w:qFormat/>
    <w:pPr>
      <w:pBdr/>
      <w:spacing/>
      <w:ind/>
    </w:pPr>
    <w:rPr>
      <w:i/>
      <w:iCs/>
      <w:color w:val="404040"/>
    </w:rPr>
  </w:style>
  <w:style w:type="character" w:styleId="771">
    <w:name w:val="Emphasis"/>
    <w:basedOn w:val="758"/>
    <w:pPr>
      <w:pBdr/>
      <w:spacing/>
      <w:ind/>
    </w:pPr>
    <w:rPr>
      <w:i/>
      <w:iCs/>
    </w:rPr>
  </w:style>
  <w:style w:type="character" w:styleId="772">
    <w:name w:val="Strong"/>
    <w:basedOn w:val="758"/>
    <w:pPr>
      <w:pBdr/>
      <w:spacing/>
      <w:ind/>
    </w:pPr>
    <w:rPr>
      <w:b/>
      <w:bCs/>
    </w:rPr>
  </w:style>
  <w:style w:type="character" w:styleId="773">
    <w:name w:val="Subtle Reference"/>
    <w:basedOn w:val="758"/>
    <w:uiPriority w:val="31"/>
    <w:qFormat/>
    <w:pPr>
      <w:pBdr/>
      <w:spacing/>
      <w:ind/>
    </w:pPr>
    <w:rPr>
      <w:smallCaps/>
      <w:color w:val="5a5a5a"/>
    </w:rPr>
  </w:style>
  <w:style w:type="character" w:styleId="774">
    <w:name w:val="Book Title"/>
    <w:basedOn w:val="75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75">
    <w:name w:val="Header"/>
    <w:basedOn w:val="748"/>
    <w:link w:val="952"/>
    <w:pPr>
      <w:pBdr/>
      <w:tabs>
        <w:tab w:val="center" w:leader="none" w:pos="4677"/>
        <w:tab w:val="right" w:leader="none" w:pos="9355"/>
      </w:tabs>
      <w:spacing/>
      <w:ind/>
    </w:pPr>
  </w:style>
  <w:style w:type="paragraph" w:styleId="776">
    <w:name w:val="Footer"/>
    <w:basedOn w:val="748"/>
    <w:link w:val="953"/>
    <w:semiHidden/>
    <w:pPr>
      <w:pBdr/>
      <w:tabs>
        <w:tab w:val="center" w:leader="none" w:pos="4677"/>
        <w:tab w:val="right" w:leader="none" w:pos="9355"/>
      </w:tabs>
      <w:spacing/>
      <w:ind/>
    </w:pPr>
  </w:style>
  <w:style w:type="paragraph" w:styleId="777">
    <w:name w:val="Caption"/>
    <w:basedOn w:val="748"/>
    <w:next w:val="748"/>
    <w:uiPriority w:val="35"/>
    <w:unhideWhenUsed/>
    <w:qFormat/>
    <w:pPr>
      <w:pBdr/>
      <w:spacing w:after="200"/>
      <w:ind/>
    </w:pPr>
    <w:rPr>
      <w:i/>
      <w:iCs/>
      <w:color w:val="1f497d" w:themeColor="text2"/>
      <w:sz w:val="18"/>
      <w:szCs w:val="18"/>
    </w:rPr>
  </w:style>
  <w:style w:type="paragraph" w:styleId="778">
    <w:name w:val="footnote text"/>
    <w:basedOn w:val="748"/>
    <w:link w:val="940"/>
    <w:uiPriority w:val="99"/>
    <w:semiHidden/>
    <w:unhideWhenUsed/>
    <w:pPr>
      <w:pBdr/>
      <w:spacing w:after="40"/>
      <w:ind/>
    </w:pPr>
    <w:rPr>
      <w:sz w:val="18"/>
      <w:lang w:val="en-US" w:eastAsia="en-US"/>
    </w:rPr>
  </w:style>
  <w:style w:type="character" w:styleId="779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780">
    <w:name w:val="endnote text"/>
    <w:basedOn w:val="748"/>
    <w:link w:val="941"/>
    <w:uiPriority w:val="99"/>
    <w:semiHidden/>
    <w:unhideWhenUsed/>
    <w:pPr>
      <w:pBdr/>
      <w:spacing/>
      <w:ind/>
    </w:pPr>
  </w:style>
  <w:style w:type="character" w:styleId="781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character" w:styleId="782">
    <w:name w:val="Hyperlink"/>
    <w:uiPriority w:val="99"/>
    <w:unhideWhenUsed/>
    <w:pPr>
      <w:pBdr/>
      <w:spacing/>
      <w:ind/>
    </w:pPr>
    <w:rPr>
      <w:color w:val="0000ff"/>
      <w:u w:val="single"/>
    </w:rPr>
  </w:style>
  <w:style w:type="character" w:styleId="783">
    <w:name w:val="FollowedHyperlink"/>
    <w:basedOn w:val="758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84">
    <w:name w:val="TOC Heading"/>
    <w:uiPriority w:val="39"/>
    <w:unhideWhenUsed/>
    <w:pPr>
      <w:pBdr/>
      <w:spacing/>
      <w:ind/>
    </w:pPr>
  </w:style>
  <w:style w:type="paragraph" w:styleId="785">
    <w:name w:val="table of figures"/>
    <w:basedOn w:val="748"/>
    <w:uiPriority w:val="99"/>
    <w:unhideWhenUsed/>
    <w:pPr>
      <w:pBdr/>
      <w:spacing/>
      <w:ind/>
    </w:pPr>
  </w:style>
  <w:style w:type="paragraph" w:styleId="786" w:customStyle="1">
    <w:name w:val="Название"/>
    <w:basedOn w:val="748"/>
    <w:link w:val="805"/>
    <w:uiPriority w:val="10"/>
    <w:qFormat/>
    <w:pPr>
      <w:pBdr/>
      <w:spacing w:after="200" w:before="300"/>
      <w:ind/>
      <w:contextualSpacing w:val="true"/>
    </w:pPr>
    <w:rPr>
      <w:sz w:val="48"/>
      <w:szCs w:val="48"/>
      <w:lang w:val="en-US" w:eastAsia="en-US"/>
    </w:rPr>
  </w:style>
  <w:style w:type="character" w:styleId="787" w:customStyle="1">
    <w:name w:val="Заголовок Знак"/>
    <w:basedOn w:val="758"/>
    <w:link w:val="76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788" w:customStyle="1">
    <w:name w:val="Subtitle Char"/>
    <w:basedOn w:val="758"/>
    <w:uiPriority w:val="11"/>
    <w:pPr>
      <w:pBdr/>
      <w:spacing/>
      <w:ind/>
    </w:pPr>
    <w:rPr>
      <w:color w:val="595959"/>
      <w:spacing w:val="15"/>
      <w:sz w:val="28"/>
      <w:szCs w:val="28"/>
    </w:rPr>
  </w:style>
  <w:style w:type="character" w:styleId="789" w:customStyle="1">
    <w:name w:val="Quote Char"/>
    <w:basedOn w:val="758"/>
    <w:uiPriority w:val="29"/>
    <w:pPr>
      <w:pBdr/>
      <w:spacing/>
      <w:ind/>
    </w:pPr>
    <w:rPr>
      <w:i/>
      <w:iCs/>
      <w:color w:val="404040"/>
    </w:rPr>
  </w:style>
  <w:style w:type="character" w:styleId="790" w:customStyle="1">
    <w:name w:val="Intense Quote Char"/>
    <w:basedOn w:val="758"/>
    <w:uiPriority w:val="30"/>
    <w:pPr>
      <w:pBdr/>
      <w:spacing/>
      <w:ind/>
    </w:pPr>
    <w:rPr>
      <w:i/>
      <w:iCs/>
      <w:color w:val="365f91"/>
    </w:rPr>
  </w:style>
  <w:style w:type="paragraph" w:styleId="791" w:customStyle="1">
    <w:name w:val="Header1"/>
    <w:basedOn w:val="748"/>
    <w:uiPriority w:val="99"/>
    <w:unhideWhenUsed/>
    <w:pPr>
      <w:pBdr/>
      <w:tabs>
        <w:tab w:val="center" w:leader="none" w:pos="4844"/>
        <w:tab w:val="right" w:leader="none" w:pos="9689"/>
      </w:tabs>
      <w:spacing/>
      <w:ind/>
    </w:pPr>
  </w:style>
  <w:style w:type="paragraph" w:styleId="792" w:customStyle="1">
    <w:name w:val="Footer1"/>
    <w:basedOn w:val="748"/>
    <w:link w:val="812"/>
    <w:uiPriority w:val="99"/>
    <w:unhideWhenUsed/>
    <w:pPr>
      <w:pBdr/>
      <w:tabs>
        <w:tab w:val="center" w:leader="none" w:pos="4844"/>
        <w:tab w:val="right" w:leader="none" w:pos="9689"/>
      </w:tabs>
      <w:spacing/>
      <w:ind/>
    </w:pPr>
  </w:style>
  <w:style w:type="paragraph" w:styleId="793" w:customStyle="1">
    <w:name w:val="Caption1"/>
    <w:basedOn w:val="748"/>
    <w:next w:val="748"/>
    <w:uiPriority w:val="35"/>
    <w:unhideWhenUsed/>
    <w:qFormat/>
    <w:pPr>
      <w:pBdr/>
      <w:spacing w:after="200"/>
      <w:ind/>
    </w:pPr>
    <w:rPr>
      <w:i/>
      <w:iCs/>
      <w:color w:val="1f497d"/>
      <w:sz w:val="18"/>
      <w:szCs w:val="18"/>
    </w:rPr>
  </w:style>
  <w:style w:type="character" w:styleId="794" w:customStyle="1">
    <w:name w:val="Footnote Text Char"/>
    <w:basedOn w:val="758"/>
    <w:uiPriority w:val="99"/>
    <w:semiHidden/>
    <w:pPr>
      <w:pBdr/>
      <w:spacing/>
      <w:ind/>
    </w:pPr>
    <w:rPr>
      <w:sz w:val="20"/>
      <w:szCs w:val="20"/>
    </w:rPr>
  </w:style>
  <w:style w:type="character" w:styleId="795" w:customStyle="1">
    <w:name w:val="Endnote Text Char"/>
    <w:basedOn w:val="758"/>
    <w:uiPriority w:val="99"/>
    <w:semiHidden/>
    <w:pPr>
      <w:pBdr/>
      <w:spacing/>
      <w:ind/>
    </w:pPr>
    <w:rPr>
      <w:sz w:val="20"/>
      <w:szCs w:val="20"/>
    </w:rPr>
  </w:style>
  <w:style w:type="character" w:styleId="796" w:customStyle="1">
    <w:name w:val="Заголовок 1 Знак"/>
    <w:link w:val="749"/>
    <w:uiPriority w:val="9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character" w:styleId="797" w:customStyle="1">
    <w:name w:val="Заголовок 2 Знак"/>
    <w:link w:val="750"/>
    <w:uiPriority w:val="9"/>
    <w:pPr>
      <w:pBdr/>
      <w:spacing/>
      <w:ind/>
    </w:pPr>
    <w:rPr>
      <w:rFonts w:ascii="Arial" w:hAnsi="Arial" w:eastAsia="Arial"/>
      <w:sz w:val="34"/>
      <w:lang w:bidi="ar-SA"/>
    </w:rPr>
  </w:style>
  <w:style w:type="character" w:styleId="798" w:customStyle="1">
    <w:name w:val="Заголовок 3 Знак"/>
    <w:link w:val="751"/>
    <w:uiPriority w:val="9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character" w:styleId="799" w:customStyle="1">
    <w:name w:val="Заголовок 4 Знак"/>
    <w:link w:val="752"/>
    <w:uiPriority w:val="9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character" w:styleId="800" w:customStyle="1">
    <w:name w:val="Заголовок 5 Знак"/>
    <w:link w:val="753"/>
    <w:uiPriority w:val="9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character" w:styleId="801" w:customStyle="1">
    <w:name w:val="Заголовок 6 Знак"/>
    <w:link w:val="754"/>
    <w:uiPriority w:val="9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character" w:styleId="802" w:customStyle="1">
    <w:name w:val="Заголовок 7 Знак"/>
    <w:link w:val="755"/>
    <w:uiPriority w:val="9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03" w:customStyle="1">
    <w:name w:val="Заголовок 8 Знак"/>
    <w:link w:val="756"/>
    <w:uiPriority w:val="9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character" w:styleId="804" w:customStyle="1">
    <w:name w:val="Заголовок 9 Знак"/>
    <w:link w:val="757"/>
    <w:uiPriority w:val="9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character" w:styleId="805" w:customStyle="1">
    <w:name w:val="Название Знак"/>
    <w:link w:val="786"/>
    <w:uiPriority w:val="10"/>
    <w:pPr>
      <w:pBdr/>
      <w:spacing/>
      <w:ind/>
    </w:pPr>
    <w:rPr>
      <w:sz w:val="48"/>
      <w:szCs w:val="48"/>
      <w:lang w:bidi="ar-SA"/>
    </w:rPr>
  </w:style>
  <w:style w:type="character" w:styleId="806" w:customStyle="1">
    <w:name w:val="Подзаголовок Знак"/>
    <w:link w:val="763"/>
    <w:uiPriority w:val="11"/>
    <w:pPr>
      <w:pBdr/>
      <w:spacing/>
      <w:ind/>
    </w:pPr>
    <w:rPr>
      <w:sz w:val="24"/>
      <w:szCs w:val="24"/>
      <w:lang w:bidi="ar-SA"/>
    </w:rPr>
  </w:style>
  <w:style w:type="character" w:styleId="807" w:customStyle="1">
    <w:name w:val="Цитата 2 Знак"/>
    <w:link w:val="764"/>
    <w:uiPriority w:val="29"/>
    <w:pPr>
      <w:pBdr/>
      <w:spacing/>
      <w:ind/>
    </w:pPr>
    <w:rPr>
      <w:i/>
      <w:lang w:val="ru-RU" w:eastAsia="zh-CN" w:bidi="ar-SA"/>
    </w:rPr>
  </w:style>
  <w:style w:type="character" w:styleId="808" w:customStyle="1">
    <w:name w:val="Выделенная цитата Знак"/>
    <w:link w:val="767"/>
    <w:uiPriority w:val="30"/>
    <w:pPr>
      <w:pBdr/>
      <w:spacing/>
      <w:ind/>
    </w:pPr>
    <w:rPr>
      <w:i/>
      <w:shd w:val="clear" w:color="auto" w:fill="f2f2f2"/>
      <w:lang w:val="ru-RU" w:eastAsia="zh-CN" w:bidi="ar-SA"/>
    </w:rPr>
  </w:style>
  <w:style w:type="paragraph" w:styleId="809" w:customStyle="1">
    <w:name w:val="Header1"/>
    <w:link w:val="810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10" w:customStyle="1">
    <w:name w:val="Header Char"/>
    <w:link w:val="809"/>
    <w:uiPriority w:val="99"/>
    <w:pPr>
      <w:pBdr/>
      <w:spacing/>
      <w:ind/>
    </w:pPr>
    <w:rPr>
      <w:lang w:val="ru-RU" w:eastAsia="zh-CN" w:bidi="ar-SA"/>
    </w:rPr>
  </w:style>
  <w:style w:type="paragraph" w:styleId="811" w:customStyle="1">
    <w:name w:val="Footer1"/>
    <w:link w:val="814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12" w:customStyle="1">
    <w:name w:val="Footer Char"/>
    <w:link w:val="792"/>
    <w:uiPriority w:val="99"/>
    <w:pPr>
      <w:pBdr/>
      <w:spacing/>
      <w:ind/>
    </w:pPr>
  </w:style>
  <w:style w:type="paragraph" w:styleId="813" w:customStyle="1">
    <w:name w:val="Caption1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14" w:customStyle="1">
    <w:name w:val="Caption Char"/>
    <w:link w:val="811"/>
    <w:uiPriority w:val="99"/>
    <w:pPr>
      <w:pBdr/>
      <w:spacing/>
      <w:ind/>
    </w:pPr>
    <w:rPr>
      <w:lang w:val="ru-RU" w:eastAsia="zh-CN" w:bidi="ar-SA"/>
    </w:rPr>
  </w:style>
  <w:style w:type="table" w:styleId="815" w:customStyle="1">
    <w:name w:val="Table Grid Light"/>
    <w:uiPriority w:val="59"/>
    <w:pPr>
      <w:pBdr/>
      <w:spacing/>
      <w:ind/>
    </w:p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Plain Table 1"/>
    <w:uiPriority w:val="59"/>
    <w:pPr>
      <w:pBdr/>
      <w:spacing/>
      <w:ind/>
    </w:p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Plain Table 2"/>
    <w:uiPriority w:val="59"/>
    <w:pPr>
      <w:pBdr/>
      <w:spacing/>
      <w:ind/>
    </w:p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Plain Table 3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Plain Table 4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Plain Table 5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1 Light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Grid Table 1 Light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Grid Table 1 Light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Grid Table 1 Light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Grid Table 1 Light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Grid Table 1 Light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Grid Table 1 Light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Grid Table 2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Grid Table 2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Grid Table 2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Grid Table 2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Grid Table 2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Grid Table 2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Grid Table 3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Grid Table 3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Grid Table 3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Grid Table 3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Grid Table 3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Grid Table 3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4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Grid Table 4 - Accent 1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Grid Table 4 - Accent 2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Grid Table 4 - Accent 3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Grid Table 4 - Accent 4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Grid Table 4 - Accent 5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Grid Table 4 - Accent 6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5 Dark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5 Dark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5 Dark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5 Dark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5 Dark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Grid Table 5 Dark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5 Dark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6 Colorful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6 Colorful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6 Colorful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6 Colorful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6 Colorful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6 Colorful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6 Colorful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7 Colorful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7 Colorful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7 Colorful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7 Colorful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7 Colorful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7 Colorful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7 Colorful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1 Light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List Table 1 Light - Accent 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List Table 1 Light - Accent 2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List Table 1 Light - Accent 3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List Table 1 Light - Accent 4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List Table 1 Light - Accent 5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List Table 1 Light - Accent 6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List Table 2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List Table 2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List Table 2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List Table 2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List Table 2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List Table 2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List Table 3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st Table 3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List Table 3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List Table 3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List Table 3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st Table 3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List Table 4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st Table 4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List Table 4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List Table 4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List Table 4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List Table 4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5 Dark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5 Dark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shd w:val="clear" w:color="4f81bd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5 Dark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shd w:val="clear" w:color="d99695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5 Dark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shd w:val="clear" w:color="c3d69b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5 Dark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shd w:val="clear" w:color="b2a1c6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st Table 5 Dark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shd w:val="clear" w:color="92ccdc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5 Dark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shd w:val="clear" w:color="fac090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6 Colorful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6 Colorful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6 Colorful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6 Colorful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6 Colorful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6 Colorful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6 Colorful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7 Colorful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7 Colorful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7 Colorful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7 Colorful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7 Colorful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7 Colorful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7 Colorful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ned - Accent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ned - Accent 1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ned - Accent 2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ned - Accent 3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ned - Accent 4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ned - Accent 5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ned - Accent 6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Bordered &amp; Lined - Accent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Bordered &amp; Lined - Accent 1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Bordered &amp; Lined - Accent 2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Bordered &amp; Lined - Accent 3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Bordered &amp; Lined - Accent 4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Bordered &amp; Lined - Accent 5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Bordered &amp; Lined - Accent 6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Bordered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Bordered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Bordered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Bordered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Bordered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Bordered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Bordered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0" w:customStyle="1">
    <w:name w:val="Текст сноски Знак"/>
    <w:link w:val="778"/>
    <w:uiPriority w:val="99"/>
    <w:semiHidden/>
    <w:pPr>
      <w:pBdr/>
      <w:spacing/>
      <w:ind/>
    </w:pPr>
    <w:rPr>
      <w:sz w:val="18"/>
      <w:lang w:bidi="ar-SA"/>
    </w:rPr>
  </w:style>
  <w:style w:type="character" w:styleId="941" w:customStyle="1">
    <w:name w:val="Текст концевой сноски Знак"/>
    <w:link w:val="780"/>
    <w:uiPriority w:val="99"/>
    <w:semiHidden/>
    <w:pPr>
      <w:pBdr/>
      <w:spacing/>
      <w:ind/>
    </w:pPr>
    <w:rPr>
      <w:lang w:val="ru-RU" w:eastAsia="zh-CN" w:bidi="ar-SA"/>
    </w:rPr>
  </w:style>
  <w:style w:type="paragraph" w:styleId="942">
    <w:name w:val="toc 1"/>
    <w:uiPriority w:val="39"/>
    <w:unhideWhenUsed/>
    <w:pPr>
      <w:pBdr/>
      <w:spacing w:after="57"/>
      <w:ind/>
    </w:pPr>
  </w:style>
  <w:style w:type="paragraph" w:styleId="943">
    <w:name w:val="toc 2"/>
    <w:uiPriority w:val="39"/>
    <w:unhideWhenUsed/>
    <w:pPr>
      <w:pBdr/>
      <w:spacing w:after="57"/>
      <w:ind w:left="283"/>
    </w:pPr>
  </w:style>
  <w:style w:type="paragraph" w:styleId="944">
    <w:name w:val="toc 3"/>
    <w:uiPriority w:val="39"/>
    <w:unhideWhenUsed/>
    <w:pPr>
      <w:pBdr/>
      <w:spacing w:after="57"/>
      <w:ind w:left="567"/>
    </w:pPr>
  </w:style>
  <w:style w:type="paragraph" w:styleId="945">
    <w:name w:val="toc 4"/>
    <w:uiPriority w:val="39"/>
    <w:unhideWhenUsed/>
    <w:pPr>
      <w:pBdr/>
      <w:spacing w:after="57"/>
      <w:ind w:left="850"/>
    </w:pPr>
  </w:style>
  <w:style w:type="paragraph" w:styleId="946">
    <w:name w:val="toc 5"/>
    <w:uiPriority w:val="39"/>
    <w:unhideWhenUsed/>
    <w:pPr>
      <w:pBdr/>
      <w:spacing w:after="57"/>
      <w:ind w:left="1134"/>
    </w:pPr>
  </w:style>
  <w:style w:type="paragraph" w:styleId="947">
    <w:name w:val="toc 6"/>
    <w:uiPriority w:val="39"/>
    <w:unhideWhenUsed/>
    <w:pPr>
      <w:pBdr/>
      <w:spacing w:after="57"/>
      <w:ind w:left="1417"/>
    </w:pPr>
  </w:style>
  <w:style w:type="paragraph" w:styleId="948">
    <w:name w:val="toc 7"/>
    <w:uiPriority w:val="39"/>
    <w:unhideWhenUsed/>
    <w:pPr>
      <w:pBdr/>
      <w:spacing w:after="57"/>
      <w:ind w:left="1701"/>
    </w:pPr>
  </w:style>
  <w:style w:type="paragraph" w:styleId="949">
    <w:name w:val="toc 8"/>
    <w:uiPriority w:val="39"/>
    <w:unhideWhenUsed/>
    <w:pPr>
      <w:pBdr/>
      <w:spacing w:after="57"/>
      <w:ind w:left="1984"/>
    </w:pPr>
  </w:style>
  <w:style w:type="paragraph" w:styleId="950">
    <w:name w:val="toc 9"/>
    <w:uiPriority w:val="39"/>
    <w:unhideWhenUsed/>
    <w:pPr>
      <w:pBdr/>
      <w:spacing w:after="57"/>
      <w:ind w:left="2268"/>
    </w:pPr>
  </w:style>
  <w:style w:type="paragraph" w:styleId="951">
    <w:name w:val="Normal (Web)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  <w:style w:type="character" w:styleId="952" w:customStyle="1">
    <w:name w:val="Верхний колонтитул Знак"/>
    <w:basedOn w:val="758"/>
    <w:link w:val="775"/>
    <w:pPr>
      <w:pBdr/>
      <w:spacing/>
      <w:ind/>
    </w:pPr>
    <w:rPr>
      <w:sz w:val="22"/>
      <w:szCs w:val="22"/>
      <w:lang w:eastAsia="en-US"/>
    </w:rPr>
  </w:style>
  <w:style w:type="character" w:styleId="953" w:customStyle="1">
    <w:name w:val="Нижний колонтитул Знак"/>
    <w:basedOn w:val="758"/>
    <w:link w:val="776"/>
    <w:semiHidden/>
    <w:pPr>
      <w:pBdr/>
      <w:spacing/>
      <w:ind/>
    </w:pPr>
    <w:rPr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Єкименко Ірина Валеріївна</cp:lastModifiedBy>
  <cp:revision>12</cp:revision>
  <dcterms:created xsi:type="dcterms:W3CDTF">2024-11-05T09:20:00Z</dcterms:created>
  <dcterms:modified xsi:type="dcterms:W3CDTF">2024-12-19T12:51:14Z</dcterms:modified>
  <cp:version>786432</cp:version>
</cp:coreProperties>
</file>