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left="5812"/>
        <w:jc w:val="both"/>
        <w:rPr>
          <w:color w:val="000000"/>
          <w:sz w:val="28"/>
          <w:lang w:val="uk-UA" w:eastAsia="ru-RU"/>
        </w:rPr>
      </w:pPr>
      <w:r>
        <w:rPr>
          <w:color w:val="000000"/>
          <w:sz w:val="28"/>
          <w:lang w:val="uk-UA" w:eastAsia="ru-RU"/>
        </w:rPr>
        <w:t xml:space="preserve"> Додаток </w:t>
      </w:r>
      <w:r>
        <w:rPr>
          <w:color w:val="000000"/>
          <w:sz w:val="28"/>
          <w:lang w:val="uk-UA" w:eastAsia="ru-RU"/>
        </w:rPr>
      </w:r>
      <w:r>
        <w:rPr>
          <w:color w:val="000000"/>
          <w:sz w:val="28"/>
          <w:lang w:val="uk-UA" w:eastAsia="ru-RU"/>
        </w:rPr>
      </w:r>
    </w:p>
    <w:p>
      <w:pPr>
        <w:pBdr/>
        <w:spacing/>
        <w:ind w:left="5812"/>
        <w:jc w:val="both"/>
        <w:rPr>
          <w:color w:val="000000"/>
          <w:sz w:val="28"/>
          <w:lang w:val="uk-UA" w:eastAsia="ru-RU"/>
        </w:rPr>
      </w:pPr>
      <w:r>
        <w:rPr>
          <w:color w:val="000000"/>
          <w:sz w:val="28"/>
          <w:lang w:val="uk-UA" w:eastAsia="ru-RU"/>
        </w:rPr>
        <w:t xml:space="preserve">до рішення 56 сесії Менської міської ради 8 скликання</w:t>
      </w:r>
      <w:r>
        <w:rPr>
          <w:color w:val="000000"/>
          <w:sz w:val="28"/>
          <w:lang w:val="uk-UA" w:eastAsia="ru-RU"/>
        </w:rPr>
      </w:r>
      <w:r>
        <w:rPr>
          <w:color w:val="000000"/>
          <w:sz w:val="28"/>
          <w:lang w:val="uk-UA" w:eastAsia="ru-RU"/>
        </w:rPr>
      </w:r>
    </w:p>
    <w:p>
      <w:pPr>
        <w:pBdr/>
        <w:spacing/>
        <w:ind w:left="5812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 w:eastAsia="ru-RU"/>
        </w:rPr>
        <w:t xml:space="preserve">19 грудня </w:t>
      </w:r>
      <w:r>
        <w:rPr>
          <w:color w:val="000000"/>
          <w:sz w:val="28"/>
          <w:lang w:val="uk-UA" w:eastAsia="ru-RU"/>
        </w:rPr>
        <w:t xml:space="preserve">2024 року № 723</w:t>
      </w:r>
      <w:r>
        <w:rPr>
          <w:color w:val="000000"/>
          <w:sz w:val="28"/>
          <w:lang w:val="uk-UA"/>
        </w:rPr>
      </w:r>
      <w:r>
        <w:rPr>
          <w:color w:val="000000"/>
          <w:sz w:val="28"/>
          <w:lang w:val="uk-UA"/>
        </w:rPr>
      </w:r>
    </w:p>
    <w:p>
      <w:pPr>
        <w:pStyle w:val="782"/>
        <w:pBdr/>
        <w:spacing w:after="0" w:before="0"/>
        <w:ind/>
        <w:jc w:val="both"/>
        <w:rPr>
          <w:rFonts w:ascii="Times New Roman" w:hAnsi="Times New Roman"/>
          <w:b/>
          <w:bCs/>
          <w:szCs w:val="32"/>
          <w:lang w:val="uk-UA"/>
        </w:rPr>
      </w:pPr>
      <w:r>
        <w:rPr>
          <w:rFonts w:ascii="Times New Roman" w:hAnsi="Times New Roman"/>
          <w:b/>
          <w:bCs/>
          <w:szCs w:val="32"/>
          <w:lang w:val="uk-UA"/>
        </w:rPr>
      </w:r>
      <w:r>
        <w:rPr>
          <w:rFonts w:ascii="Times New Roman" w:hAnsi="Times New Roman"/>
          <w:b/>
          <w:bCs/>
          <w:szCs w:val="32"/>
          <w:lang w:val="uk-UA"/>
        </w:rPr>
      </w:r>
      <w:r>
        <w:rPr>
          <w:rFonts w:ascii="Times New Roman" w:hAnsi="Times New Roman"/>
          <w:b/>
          <w:bCs/>
          <w:szCs w:val="32"/>
          <w:lang w:val="uk-UA"/>
        </w:rPr>
      </w:r>
    </w:p>
    <w:p>
      <w:pPr>
        <w:pStyle w:val="782"/>
        <w:pBdr/>
        <w:spacing w:after="0" w:before="0"/>
        <w:ind/>
        <w:jc w:val="center"/>
        <w:rPr>
          <w:rFonts w:ascii="Times New Roman" w:hAnsi="Times New Roman"/>
          <w:b/>
          <w:bCs/>
          <w:sz w:val="32"/>
          <w:szCs w:val="32"/>
          <w:lang w:val="uk-UA" w:eastAsia="ar-SA"/>
        </w:rPr>
      </w:pP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782"/>
        <w:pBdr/>
        <w:spacing w:after="0" w:before="0"/>
        <w:ind/>
        <w:jc w:val="center"/>
        <w:rPr>
          <w:rFonts w:ascii="Times New Roman" w:hAnsi="Times New Roman"/>
          <w:b/>
          <w:bCs/>
          <w:sz w:val="32"/>
          <w:szCs w:val="32"/>
          <w:lang w:val="uk-UA" w:eastAsia="ar-SA"/>
        </w:rPr>
      </w:pPr>
      <w:r>
        <w:rPr>
          <w:rFonts w:ascii="Times New Roman" w:hAnsi="Times New Roman"/>
          <w:b/>
          <w:bCs/>
          <w:sz w:val="32"/>
          <w:szCs w:val="32"/>
          <w:lang w:val="uk-UA" w:eastAsia="ar-SA"/>
        </w:rPr>
        <w:t xml:space="preserve">ПРОГРАМА</w:t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</w:p>
    <w:p>
      <w:pPr>
        <w:pStyle w:val="782"/>
        <w:pBdr/>
        <w:spacing w:after="0" w:before="0"/>
        <w:ind/>
        <w:jc w:val="center"/>
        <w:rPr>
          <w:rFonts w:ascii="Times New Roman" w:hAnsi="Times New Roman"/>
          <w:b/>
          <w:bCs/>
          <w:sz w:val="32"/>
          <w:szCs w:val="32"/>
          <w:lang w:val="uk-UA" w:eastAsia="ar-SA"/>
        </w:rPr>
      </w:pPr>
      <w:r>
        <w:rPr>
          <w:rFonts w:ascii="Times New Roman" w:hAnsi="Times New Roman"/>
          <w:b/>
          <w:bCs/>
          <w:sz w:val="32"/>
          <w:szCs w:val="32"/>
          <w:lang w:val="uk-UA" w:eastAsia="ar-SA"/>
        </w:rPr>
        <w:t xml:space="preserve"> «Забезпечення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</w:t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  <w:r>
        <w:rPr>
          <w:rFonts w:ascii="Times New Roman" w:hAnsi="Times New Roman"/>
          <w:b/>
          <w:bCs/>
          <w:sz w:val="32"/>
          <w:szCs w:val="32"/>
          <w:lang w:val="uk-UA" w:eastAsia="ar-SA"/>
        </w:rPr>
      </w:r>
    </w:p>
    <w:p>
      <w:pPr>
        <w:pStyle w:val="782"/>
        <w:pBdr/>
        <w:spacing w:after="0" w:before="0"/>
        <w:ind/>
        <w:jc w:val="center"/>
        <w:rPr>
          <w:rFonts w:ascii="Times New Roman" w:hAnsi="Times New Roman"/>
          <w:b/>
          <w:sz w:val="32"/>
          <w:szCs w:val="32"/>
          <w:lang w:val="uk-UA" w:eastAsia="ar-SA"/>
        </w:rPr>
      </w:pPr>
      <w:r>
        <w:rPr>
          <w:rFonts w:ascii="Times New Roman" w:hAnsi="Times New Roman"/>
          <w:b/>
          <w:bCs/>
          <w:sz w:val="32"/>
          <w:szCs w:val="32"/>
          <w:lang w:val="uk-UA" w:eastAsia="ar-SA"/>
        </w:rPr>
        <w:t xml:space="preserve">на 2025-2027 роки»</w:t>
      </w:r>
      <w:r>
        <w:rPr>
          <w:rFonts w:ascii="Times New Roman" w:hAnsi="Times New Roman"/>
          <w:b/>
          <w:sz w:val="32"/>
          <w:szCs w:val="32"/>
          <w:lang w:val="uk-UA" w:eastAsia="ar-SA"/>
        </w:rPr>
      </w:r>
      <w:r>
        <w:rPr>
          <w:rFonts w:ascii="Times New Roman" w:hAnsi="Times New Roman"/>
          <w:b/>
          <w:sz w:val="32"/>
          <w:szCs w:val="32"/>
          <w:lang w:val="uk-UA" w:eastAsia="ar-SA"/>
        </w:rPr>
      </w:r>
    </w:p>
    <w:p>
      <w:pPr>
        <w:pStyle w:val="973"/>
        <w:pBdr/>
        <w:spacing/>
        <w:ind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jc w:val="center"/>
        <w:rPr>
          <w:lang w:val="uk-UA" w:eastAsia="ar-SA"/>
        </w:rPr>
      </w:pPr>
      <w:r>
        <w:rPr>
          <w:lang w:val="uk-UA" w:eastAsia="ar-SA"/>
        </w:rPr>
      </w:r>
      <w:r>
        <w:rPr>
          <w:lang w:val="uk-UA" w:eastAsia="ar-SA"/>
        </w:rPr>
      </w:r>
      <w:r>
        <w:rPr>
          <w:lang w:val="uk-UA" w:eastAsia="ar-SA"/>
        </w:rPr>
      </w:r>
    </w:p>
    <w:p>
      <w:pPr>
        <w:pStyle w:val="973"/>
        <w:pBdr/>
        <w:spacing/>
        <w:ind/>
        <w:jc w:val="center"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jc w:val="center"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jc w:val="center"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Style w:val="973"/>
        <w:pBdr/>
        <w:spacing/>
        <w:ind/>
        <w:rPr>
          <w:b/>
          <w:bCs/>
          <w:lang w:val="uk-UA" w:eastAsia="ar-SA"/>
        </w:rPr>
      </w:pP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  <w:r>
        <w:rPr>
          <w:b/>
          <w:bCs/>
          <w:lang w:val="uk-UA" w:eastAsia="ar-SA"/>
        </w:rPr>
      </w:r>
    </w:p>
    <w:p>
      <w:pPr>
        <w:pBdr/>
        <w:spacing/>
        <w:ind/>
        <w:rPr>
          <w:color w:val="000000"/>
          <w:sz w:val="24"/>
          <w:szCs w:val="24"/>
          <w:lang w:val="uk-UA" w:eastAsia="ru-RU"/>
        </w:rPr>
      </w:pPr>
      <w:r>
        <w:rPr>
          <w:color w:val="000000"/>
          <w:sz w:val="24"/>
          <w:szCs w:val="24"/>
          <w:lang w:val="uk-UA" w:eastAsia="ru-RU"/>
        </w:rPr>
      </w:r>
      <w:r>
        <w:rPr>
          <w:color w:val="000000"/>
          <w:sz w:val="24"/>
          <w:szCs w:val="24"/>
          <w:lang w:val="uk-UA" w:eastAsia="ru-RU"/>
        </w:rPr>
      </w:r>
      <w:r>
        <w:rPr>
          <w:color w:val="000000"/>
          <w:sz w:val="24"/>
          <w:szCs w:val="24"/>
          <w:lang w:val="uk-UA" w:eastAsia="ru-RU"/>
        </w:rPr>
      </w:r>
    </w:p>
    <w:p>
      <w:pPr>
        <w:pBdr/>
        <w:spacing/>
        <w:ind/>
        <w:jc w:val="center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 xml:space="preserve">Мена</w:t>
      </w: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</w:p>
    <w:p>
      <w:pPr>
        <w:pBdr/>
        <w:spacing/>
        <w:ind/>
        <w:jc w:val="center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 xml:space="preserve">2024 рік</w:t>
      </w: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</w:p>
    <w:p>
      <w:pPr>
        <w:keepNext w:val="true"/>
        <w:pBdr/>
        <w:spacing/>
        <w:ind/>
        <w:jc w:val="center"/>
        <w:outlineLvl w:val="3"/>
        <w:rPr>
          <w:bCs/>
          <w:sz w:val="28"/>
          <w:szCs w:val="28"/>
          <w:lang w:val="uk-UA" w:eastAsia="ru-RU"/>
        </w:rPr>
      </w:pPr>
      <w:r>
        <w:rPr>
          <w:bCs/>
          <w:sz w:val="28"/>
          <w:szCs w:val="28"/>
          <w:lang w:val="uk-UA" w:eastAsia="ru-RU"/>
        </w:rPr>
        <w:t xml:space="preserve">ЗМІСТ</w:t>
      </w:r>
      <w:r>
        <w:rPr>
          <w:bCs/>
          <w:sz w:val="28"/>
          <w:szCs w:val="28"/>
          <w:lang w:val="uk-UA" w:eastAsia="ru-RU"/>
        </w:rPr>
      </w:r>
      <w:r>
        <w:rPr>
          <w:bCs/>
          <w:sz w:val="28"/>
          <w:szCs w:val="28"/>
          <w:lang w:val="uk-UA" w:eastAsia="ru-RU"/>
        </w:rPr>
      </w:r>
    </w:p>
    <w:p>
      <w:pPr>
        <w:pBdr/>
        <w:spacing/>
        <w:ind w:right="278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Паспорт Програми                                                                                 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Визначення проблеми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Мета Програми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Напрямки та заходи виконання Програми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rStyle w:val="1006"/>
          <w:rFonts w:eastAsia="Calibri"/>
          <w:b w:val="0"/>
          <w:bCs w:val="0"/>
          <w:sz w:val="28"/>
          <w:szCs w:val="28"/>
        </w:rPr>
        <w:t xml:space="preserve">Фінансове забезпечення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numPr>
          <w:ilvl w:val="0"/>
          <w:numId w:val="15"/>
        </w:numPr>
        <w:pBdr/>
        <w:spacing/>
        <w:ind/>
        <w:rPr>
          <w:sz w:val="28"/>
          <w:szCs w:val="28"/>
          <w:lang w:val="uk-UA" w:eastAsia="ru-RU"/>
        </w:rPr>
      </w:pPr>
      <w:r>
        <w:rPr>
          <w:rStyle w:val="1006"/>
          <w:rFonts w:eastAsia="Calibri"/>
          <w:b w:val="0"/>
          <w:bCs w:val="0"/>
          <w:sz w:val="28"/>
          <w:szCs w:val="28"/>
        </w:rPr>
        <w:t xml:space="preserve">Очікувані результати</w:t>
      </w:r>
      <w:r>
        <w:rPr>
          <w:sz w:val="28"/>
          <w:szCs w:val="28"/>
          <w:lang w:val="uk-UA" w:eastAsia="ru-RU"/>
        </w:rPr>
      </w:r>
      <w:r>
        <w:rPr>
          <w:sz w:val="28"/>
          <w:szCs w:val="28"/>
          <w:lang w:val="uk-UA" w:eastAsia="ru-RU"/>
        </w:rPr>
      </w:r>
    </w:p>
    <w:p>
      <w:pPr>
        <w:pageBreakBefore w:val="true"/>
        <w:numPr>
          <w:ilvl w:val="0"/>
          <w:numId w:val="14"/>
        </w:numPr>
        <w:pBdr/>
        <w:tabs>
          <w:tab w:val="clear" w:leader="none" w:pos="720"/>
          <w:tab w:val="left" w:leader="none" w:pos="6686"/>
        </w:tabs>
        <w:spacing/>
        <w:ind/>
        <w:jc w:val="center"/>
        <w:rPr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 xml:space="preserve">ПАСПОРТ ПРОГРАМИ       </w:t>
      </w:r>
      <w:r>
        <w:rPr>
          <w:b/>
          <w:sz w:val="28"/>
          <w:szCs w:val="28"/>
          <w:lang w:val="uk-UA" w:eastAsia="ar-SA"/>
        </w:rPr>
        <w:t xml:space="preserve">                                                                                     «Забезпечення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на 2025-2027 роки»</w:t>
      </w:r>
      <w:r>
        <w:rPr>
          <w:b/>
          <w:sz w:val="28"/>
          <w:szCs w:val="28"/>
          <w:lang w:val="uk-UA" w:eastAsia="ar-SA"/>
        </w:rPr>
      </w:r>
      <w:r>
        <w:rPr>
          <w:b/>
          <w:sz w:val="28"/>
          <w:szCs w:val="28"/>
          <w:lang w:val="uk-UA" w:eastAsia="ar-SA"/>
        </w:rPr>
      </w:r>
    </w:p>
    <w:tbl>
      <w:tblPr>
        <w:tblW w:w="4852" w:type="pct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4318"/>
        <w:gridCol w:w="4330"/>
      </w:tblGrid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Ініціатор розроблення Програми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Менська міська рада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Розробник Програми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Менської міської ради, КП «Менакомунпослуга»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276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Співрозробник Програми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 Менська міська рада,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підприємства, що надають послуги з водопостачання та водовідведення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Відповідальний виконавець Програми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 Менська міська рада,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Менської міської ради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, підприємства, що надають послуги з водопостачання та водовідведення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Термін реалізації Програми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2025-2027 роки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Перелік джерел фінансування, які беруть участь у виконанні Програми 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Бюджет Менської міської територіальної громади, Державний бюджет та інші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numPr>
                <w:ilvl w:val="0"/>
                <w:numId w:val="14"/>
              </w:numPr>
              <w:pBdr/>
              <w:spacing/>
              <w:ind/>
              <w:jc w:val="center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ar-SA"/>
              </w:rPr>
              <w:t xml:space="preserve">Загальний обсяг фінансових ресурсів, необхідних для реалізації програми всього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30" w:type="dxa"/>
            <w:textDirection w:val="lrTb"/>
            <w:noWrap/>
          </w:tcPr>
          <w:p>
            <w:pPr>
              <w:pBdr/>
              <w:spacing/>
              <w:ind/>
              <w:rPr>
                <w:sz w:val="28"/>
                <w:szCs w:val="28"/>
                <w:lang w:val="uk-UA" w:eastAsia="ar-SA"/>
              </w:rPr>
            </w:pPr>
            <w:r>
              <w:rPr>
                <w:bCs/>
                <w:sz w:val="28"/>
                <w:szCs w:val="28"/>
                <w:lang w:val="uk-UA" w:eastAsia="ar-SA"/>
              </w:rPr>
              <w:t xml:space="preserve">Разом: 47 806 000 </w:t>
            </w:r>
            <w:r>
              <w:rPr>
                <w:sz w:val="28"/>
                <w:szCs w:val="28"/>
                <w:lang w:val="uk-UA" w:eastAsia="ar-SA"/>
              </w:rPr>
              <w:t xml:space="preserve">грн.</w:t>
            </w:r>
            <w:r>
              <w:rPr>
                <w:sz w:val="28"/>
                <w:szCs w:val="28"/>
                <w:lang w:val="uk-UA" w:eastAsia="ar-SA"/>
              </w:rPr>
            </w:r>
            <w:r>
              <w:rPr>
                <w:sz w:val="28"/>
                <w:szCs w:val="28"/>
                <w:lang w:val="uk-UA" w:eastAsia="ar-S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 w:eastAsia="ar-SA"/>
              </w:rPr>
            </w:pPr>
            <w:r>
              <w:rPr>
                <w:sz w:val="28"/>
                <w:szCs w:val="28"/>
                <w:lang w:val="uk-UA" w:eastAsia="ar-SA"/>
              </w:rPr>
              <w:t xml:space="preserve">2025 рік - 31 155 000 грн.</w:t>
            </w:r>
            <w:r>
              <w:rPr>
                <w:sz w:val="28"/>
                <w:szCs w:val="28"/>
                <w:lang w:val="uk-UA" w:eastAsia="ar-SA"/>
              </w:rPr>
            </w:r>
            <w:r>
              <w:rPr>
                <w:sz w:val="28"/>
                <w:szCs w:val="28"/>
                <w:lang w:val="uk-UA" w:eastAsia="ar-S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 w:eastAsia="ar-SA"/>
              </w:rPr>
            </w:pPr>
            <w:r>
              <w:rPr>
                <w:sz w:val="28"/>
                <w:szCs w:val="28"/>
                <w:lang w:val="uk-UA" w:eastAsia="ar-SA"/>
              </w:rPr>
              <w:t xml:space="preserve">2026 рік - 13 847 000 грн.</w:t>
            </w:r>
            <w:r>
              <w:rPr>
                <w:sz w:val="28"/>
                <w:szCs w:val="28"/>
                <w:lang w:val="uk-UA" w:eastAsia="ar-SA"/>
              </w:rPr>
            </w:r>
            <w:r>
              <w:rPr>
                <w:sz w:val="28"/>
                <w:szCs w:val="28"/>
                <w:lang w:val="uk-UA" w:eastAsia="ar-SA"/>
              </w:rPr>
            </w:r>
          </w:p>
          <w:p>
            <w:pPr>
              <w:pBdr/>
              <w:spacing/>
              <w:ind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ar-SA"/>
              </w:rPr>
              <w:t xml:space="preserve">2027 рік - 2 804 000 грн.</w:t>
            </w:r>
            <w:r>
              <w:rPr>
                <w:sz w:val="28"/>
                <w:szCs w:val="28"/>
                <w:lang w:val="uk-UA" w:eastAsia="ru-RU"/>
              </w:rPr>
            </w:r>
            <w:r>
              <w:rPr>
                <w:sz w:val="28"/>
                <w:szCs w:val="28"/>
                <w:lang w:val="uk-UA" w:eastAsia="ru-RU"/>
              </w:rPr>
            </w:r>
          </w:p>
        </w:tc>
      </w:tr>
    </w:tbl>
    <w:p>
      <w:pPr>
        <w:pBdr/>
        <w:tabs>
          <w:tab w:val="left" w:leader="none" w:pos="0"/>
        </w:tabs>
        <w:spacing/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</w:r>
      <w:r>
        <w:rPr>
          <w:sz w:val="28"/>
          <w:lang w:val="uk-UA"/>
        </w:rPr>
      </w:r>
      <w:r>
        <w:rPr>
          <w:sz w:val="28"/>
          <w:lang w:val="uk-UA"/>
        </w:rPr>
      </w:r>
    </w:p>
    <w:p>
      <w:pPr>
        <w:pBdr/>
        <w:shd w:val="nil" w:color="auto"/>
        <w:spacing/>
        <w:ind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highlight w:val="none"/>
          <w:lang w:val="uk-UA" w:eastAsia="ar-SA"/>
        </w:rPr>
        <w:br w:type="page" w:clear="all"/>
      </w:r>
      <w:r>
        <w:rPr>
          <w:rFonts w:ascii="Times New Roman" w:hAnsi="Times New Roman"/>
          <w:b/>
          <w:bCs/>
          <w:sz w:val="28"/>
          <w:szCs w:val="28"/>
          <w:lang w:val="uk-UA" w:eastAsia="ar-SA"/>
        </w:rPr>
      </w:r>
      <w:r>
        <w:rPr>
          <w:rFonts w:ascii="Times New Roman" w:hAnsi="Times New Roman"/>
          <w:b/>
          <w:bCs/>
          <w:sz w:val="28"/>
          <w:szCs w:val="28"/>
          <w:lang w:val="uk-UA" w:eastAsia="ar-SA"/>
        </w:rPr>
      </w:r>
    </w:p>
    <w:p>
      <w:pPr>
        <w:pStyle w:val="770"/>
        <w:pBdr/>
        <w:spacing w:after="0" w:before="0"/>
        <w:ind/>
        <w:jc w:val="center"/>
        <w:rPr>
          <w:rFonts w:ascii="Times New Roman" w:hAnsi="Times New Roman"/>
          <w:b/>
          <w:bCs/>
          <w:sz w:val="28"/>
          <w:szCs w:val="28"/>
          <w:highlight w:val="none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2. ВИЗНАЧЕННЯ ПРОБЛЕМИ</w:t>
      </w:r>
      <w:r>
        <w:rPr>
          <w:rFonts w:ascii="Times New Roman" w:hAnsi="Times New Roman"/>
          <w:b/>
          <w:bCs/>
          <w:sz w:val="28"/>
          <w:szCs w:val="28"/>
          <w:highlight w:val="none"/>
          <w:lang w:val="uk-UA" w:eastAsia="ar-SA"/>
        </w:rPr>
      </w:r>
      <w:r>
        <w:rPr>
          <w:rFonts w:ascii="Times New Roman" w:hAnsi="Times New Roman"/>
          <w:b/>
          <w:bCs/>
          <w:sz w:val="28"/>
          <w:szCs w:val="28"/>
          <w:highlight w:val="none"/>
          <w:lang w:val="uk-UA" w:eastAsia="ar-SA"/>
        </w:rPr>
      </w:r>
    </w:p>
    <w:p>
      <w:pPr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Забезпечення населення Менської міської т</w:t>
      </w:r>
      <w:r>
        <w:rPr>
          <w:sz w:val="28"/>
          <w:szCs w:val="28"/>
          <w:lang w:val="uk-UA"/>
        </w:rPr>
        <w:t xml:space="preserve">ериторіальної громади  питною водою є однією з пріоритетних проблем, розв'язання якої необхідне для збереження здоров'я, поліпшення умов діяльності і підвищення рівня життя населення, сприяння створенню належних умов для розвитку  дітей на місцевому рівні.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значне зношення інженерних мереж, </w:t>
      </w:r>
      <w:r>
        <w:rPr>
          <w:sz w:val="28"/>
          <w:szCs w:val="28"/>
          <w:lang w:val="uk-UA"/>
        </w:rPr>
        <w:t xml:space="preserve">виникають аварії на об’єктах питного водопостачання та водовідведення., що в свою чергу значно впливає на надання даних послуг населенню та на якість даних послуг.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Bdr/>
        <w:spacing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</w:t>
      </w:r>
      <w:r>
        <w:rPr>
          <w:sz w:val="28"/>
          <w:szCs w:val="28"/>
          <w:lang w:val="uk-UA"/>
        </w:rPr>
        <w:t xml:space="preserve">одозабірні свердловини в населених пунктах менської територіальної громади експлуатуються досить давно</w:t>
      </w:r>
      <w:r>
        <w:rPr>
          <w:sz w:val="28"/>
          <w:szCs w:val="28"/>
          <w:lang w:val="uk-UA"/>
        </w:rPr>
        <w:t xml:space="preserve"> та потребують покращення якості води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Загальна протяжність водопровідної мережі в населе</w:t>
      </w:r>
      <w:r>
        <w:rPr>
          <w:lang w:val="uk-UA"/>
        </w:rPr>
        <w:t xml:space="preserve">них пунктах громади становить 79,482 км., каналізаційної - 17,87</w:t>
      </w:r>
      <w:r>
        <w:rPr>
          <w:color w:val="ff0000"/>
          <w:lang w:val="uk-UA"/>
        </w:rPr>
        <w:t xml:space="preserve"> </w:t>
      </w:r>
      <w:r>
        <w:rPr>
          <w:lang w:val="uk-UA"/>
        </w:rPr>
        <w:t xml:space="preserve">км. ТОВ «Менський комунальник» обслуговує </w:t>
      </w:r>
      <w:r>
        <w:rPr>
          <w:lang w:val="uk-UA"/>
        </w:rPr>
        <w:t xml:space="preserve">водогін загальною протяжністю 40</w:t>
      </w:r>
      <w:r>
        <w:rPr>
          <w:lang w:val="uk-UA"/>
        </w:rPr>
        <w:t xml:space="preserve">,9</w:t>
      </w:r>
      <w:r>
        <w:rPr>
          <w:lang w:val="uk-UA"/>
        </w:rPr>
        <w:t xml:space="preserve">82</w:t>
      </w:r>
      <w:r>
        <w:rPr>
          <w:lang w:val="uk-UA"/>
        </w:rPr>
        <w:t xml:space="preserve"> км.</w:t>
      </w:r>
      <w:r>
        <w:rPr>
          <w:lang w:val="uk-UA"/>
        </w:rPr>
        <w:t xml:space="preserve"> та каналізаційну мережу - 10,870</w:t>
      </w:r>
      <w:r>
        <w:rPr>
          <w:lang w:val="uk-UA"/>
        </w:rPr>
        <w:t xml:space="preserve"> км, що знаходиться у комунальній власності громади. Але фак</w:t>
      </w:r>
      <w:r>
        <w:rPr>
          <w:lang w:val="uk-UA"/>
        </w:rPr>
        <w:t xml:space="preserve">тично по </w:t>
      </w:r>
      <w:r>
        <w:rPr>
          <w:lang w:val="uk-UA"/>
        </w:rPr>
        <w:t xml:space="preserve">місту протяжність водогону є більшою і нагальним є питанням взятт</w:t>
      </w:r>
      <w:r>
        <w:rPr>
          <w:lang w:val="uk-UA"/>
        </w:rPr>
        <w:t xml:space="preserve">я його на баланс, оскільки неможливо здійснювати його обслуговування.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По населеним пунктам громади обслуговує водогін КП «Менакомунпослуга» загальною протяжність водопровідної мережі </w:t>
      </w:r>
      <w:r>
        <w:rPr>
          <w:lang w:val="uk-UA"/>
        </w:rPr>
        <w:t xml:space="preserve">3</w:t>
      </w:r>
      <w:r>
        <w:rPr>
          <w:lang w:val="uk-UA"/>
        </w:rPr>
        <w:t xml:space="preserve">8,</w:t>
      </w:r>
      <w:r>
        <w:rPr>
          <w:lang w:val="uk-UA"/>
        </w:rPr>
        <w:t xml:space="preserve">5 км, каналізаційної мережі – 7 км.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Централізов</w:t>
      </w:r>
      <w:r>
        <w:rPr>
          <w:lang w:val="uk-UA"/>
        </w:rPr>
        <w:t xml:space="preserve">ане водопостачання наявне ще в 8</w:t>
      </w:r>
      <w:r>
        <w:rPr>
          <w:lang w:val="uk-UA"/>
        </w:rPr>
        <w:t xml:space="preserve"> населених пунктах громади, а саме в селах Семенівка (0,5 км), Блистова (2 км), Величківка</w:t>
      </w:r>
      <w:r>
        <w:rPr>
          <w:lang w:val="uk-UA"/>
        </w:rPr>
        <w:t xml:space="preserve"> (21,5 км), Бірківка (0,6 км), Ліски (1,5 км), Слобідка (2,2 км), Стольне (3,4 км) та селищі міського типу Макошино (6,8 км). Водовідведення смт.  Макошине 7 км. Деякі мережі перебувають в незадовільному стані, а саме в селах Величківка, Ліски та Бірківка.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На даний час в місті Мена відсутні робочі очисні споруди, і місто користується очисними спорудами ПП КФ «Прометей» філії «Менський сир». </w:t>
      </w:r>
      <w:r>
        <w:rPr>
          <w:lang w:val="uk-UA"/>
        </w:rPr>
        <w:t xml:space="preserve">Дуже важливим</w:t>
      </w:r>
      <w:r>
        <w:rPr>
          <w:lang w:val="uk-UA"/>
        </w:rPr>
        <w:t xml:space="preserve"> є відновлення роботи </w:t>
      </w:r>
      <w:r>
        <w:rPr>
          <w:lang w:val="uk-UA"/>
        </w:rPr>
        <w:t xml:space="preserve">міських очисних споруд, для забезпечення екологічної безпеки, надання якісних послуг, та покращення інвестиційної </w:t>
      </w:r>
      <w:r>
        <w:rPr>
          <w:lang w:val="uk-UA"/>
        </w:rPr>
        <w:t xml:space="preserve">привабливості громади.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Програма «Питна вода Менської міської територіальної громади на 2025-2027 роки» спрямована на реалізацію державної політики щодо забезпечення населення якісною питною водою відповідно до Закону України «Про питну воду та питне водопостачання».</w:t>
      </w:r>
      <w:r>
        <w:rPr>
          <w:lang w:val="uk-UA"/>
        </w:rPr>
      </w:r>
      <w:r>
        <w:rPr>
          <w:lang w:val="uk-UA"/>
        </w:rPr>
      </w:r>
    </w:p>
    <w:p>
      <w:pPr>
        <w:pStyle w:val="785"/>
        <w:widowControl w:val="false"/>
        <w:pBdr/>
        <w:tabs>
          <w:tab w:val="clear" w:leader="none" w:pos="720"/>
          <w:tab w:val="left" w:leader="none" w:pos="993"/>
        </w:tabs>
        <w:spacing/>
        <w:ind w:right="0" w:firstLine="567" w:left="0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770"/>
        <w:pBdr/>
        <w:spacing w:after="0" w:before="0"/>
        <w:ind/>
        <w:jc w:val="center"/>
        <w:rPr>
          <w:b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3. МЕТА </w:t>
      </w: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ТА ЗАВДАННЯ </w:t>
      </w: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ПРОГРАМИ</w:t>
      </w:r>
      <w:r>
        <w:rPr>
          <w:b/>
          <w:sz w:val="28"/>
          <w:szCs w:val="28"/>
          <w:lang w:val="uk-UA" w:eastAsia="ar-SA"/>
        </w:rPr>
      </w:r>
      <w:r>
        <w:rPr>
          <w:b/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Метою програми є поліпшення забезпечення населення питною водою нормативної якості в межах науково обґрунтованих нормативів питного водоспоживання, відновлення, охорона</w:t>
      </w:r>
      <w:r>
        <w:rPr>
          <w:sz w:val="28"/>
          <w:szCs w:val="28"/>
          <w:lang w:val="uk-UA" w:eastAsia="ar-SA"/>
        </w:rPr>
        <w:t xml:space="preserve"> та раціональне використа</w:t>
      </w:r>
      <w:r>
        <w:rPr>
          <w:sz w:val="28"/>
          <w:szCs w:val="28"/>
          <w:lang w:val="uk-UA" w:eastAsia="ar-SA"/>
        </w:rPr>
        <w:t xml:space="preserve">ння джерел питного водопостачання, розвиток мережі централізованого забезпечення споживачів питною водою, підвищення ефективності та надійності її функціонування, забезпечення конституційних прав громадян на достатній життєвий рівень та екологічну безпеку.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Основним</w:t>
      </w:r>
      <w:r>
        <w:rPr>
          <w:sz w:val="28"/>
          <w:szCs w:val="28"/>
          <w:lang w:val="uk-UA" w:eastAsia="ar-SA"/>
        </w:rPr>
        <w:t xml:space="preserve">и</w:t>
      </w:r>
      <w:r>
        <w:rPr>
          <w:sz w:val="28"/>
          <w:szCs w:val="28"/>
          <w:lang w:val="uk-UA" w:eastAsia="ar-SA"/>
        </w:rPr>
        <w:t xml:space="preserve"> завданням </w:t>
      </w:r>
      <w:r>
        <w:rPr>
          <w:sz w:val="28"/>
          <w:szCs w:val="28"/>
          <w:lang w:val="uk-UA" w:eastAsia="ar-SA"/>
        </w:rPr>
        <w:t xml:space="preserve">є</w:t>
      </w:r>
      <w:r>
        <w:rPr>
          <w:sz w:val="28"/>
          <w:szCs w:val="28"/>
          <w:lang w:val="uk-UA" w:eastAsia="ar-SA"/>
        </w:rPr>
        <w:t xml:space="preserve">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jc w:val="both"/>
        <w:rPr>
          <w:lang w:val="uk-UA"/>
        </w:rPr>
      </w:pPr>
      <w:r>
        <w:rPr>
          <w:sz w:val="28"/>
          <w:szCs w:val="28"/>
          <w:lang w:val="uk-UA" w:eastAsia="ar-SA"/>
        </w:rPr>
        <w:t xml:space="preserve">- </w:t>
      </w:r>
      <w:r>
        <w:rPr>
          <w:sz w:val="28"/>
          <w:szCs w:val="28"/>
          <w:lang w:val="uk-UA" w:eastAsia="ar-SA"/>
        </w:rPr>
        <w:t xml:space="preserve">забезпечення населення </w:t>
      </w:r>
      <w:r>
        <w:rPr>
          <w:sz w:val="28"/>
          <w:szCs w:val="28"/>
          <w:lang w:val="uk-UA" w:eastAsia="ar-SA"/>
        </w:rPr>
        <w:t xml:space="preserve">якісною </w:t>
      </w:r>
      <w:r>
        <w:rPr>
          <w:sz w:val="28"/>
          <w:szCs w:val="28"/>
          <w:lang w:val="uk-UA" w:eastAsia="ar-SA"/>
        </w:rPr>
        <w:t xml:space="preserve">питною водою.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 xml:space="preserve"> взяття на баланс водопро</w:t>
      </w:r>
      <w:r>
        <w:rPr>
          <w:lang w:val="uk-UA"/>
        </w:rPr>
        <w:t xml:space="preserve">відних та каналізаційних мереж </w:t>
      </w:r>
      <w:r>
        <w:rPr>
          <w:lang w:val="uk-UA"/>
        </w:rPr>
        <w:t xml:space="preserve">збудованих кооперативами та, ті власники яких не визначені;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ab/>
        <w:t xml:space="preserve">охорона і раціональне використання джерел питного водопостачання;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ab/>
        <w:t xml:space="preserve">розвиток та реконструкція систем водопостачання та водовідведення;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ab/>
        <w:t xml:space="preserve">покращення стану інженерних мереж, споруд та систем водопостачання, зон санітарної охорони джерел водопостачання;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ab/>
        <w:t xml:space="preserve">створення сприятливих умов для залучення інвестиційних ресурсів з метою технічного переоснащення систем питного водопостачання та водовідведення;</w:t>
      </w:r>
      <w:r>
        <w:rPr>
          <w:lang w:val="uk-UA"/>
        </w:rPr>
      </w:r>
      <w:r>
        <w:rPr>
          <w:lang w:val="uk-UA"/>
        </w:rPr>
      </w:r>
    </w:p>
    <w:p>
      <w:pPr>
        <w:pStyle w:val="789"/>
        <w:pBdr/>
        <w:spacing/>
        <w:ind w:right="0" w:firstLine="567"/>
        <w:rPr>
          <w:lang w:val="uk-UA"/>
        </w:rPr>
      </w:pPr>
      <w:r>
        <w:rPr>
          <w:lang w:val="uk-UA"/>
        </w:rPr>
        <w:t xml:space="preserve">-</w:t>
      </w:r>
      <w:r>
        <w:rPr>
          <w:lang w:val="uk-UA"/>
        </w:rPr>
        <w:tab/>
        <w:t xml:space="preserve">розширення мережі водопостачання та водовідведення Менської ТГ шляхом будівництва нових ділянок водопроводів та каналізаційних колекторів.</w:t>
      </w:r>
      <w:r>
        <w:rPr>
          <w:lang w:val="uk-UA"/>
        </w:rPr>
      </w:r>
      <w:r>
        <w:rPr>
          <w:lang w:val="uk-UA"/>
        </w:rPr>
      </w:r>
    </w:p>
    <w:p>
      <w:pPr>
        <w:pStyle w:val="973"/>
        <w:pBdr/>
        <w:spacing w:after="0"/>
        <w:ind/>
        <w:jc w:val="center"/>
        <w:rPr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</w:r>
      <w:r>
        <w:rPr>
          <w:b/>
          <w:sz w:val="28"/>
          <w:szCs w:val="28"/>
          <w:lang w:val="uk-UA" w:eastAsia="ar-SA"/>
        </w:rPr>
      </w:r>
      <w:r>
        <w:rPr>
          <w:b/>
          <w:sz w:val="28"/>
          <w:szCs w:val="28"/>
          <w:lang w:val="uk-UA" w:eastAsia="ar-SA"/>
        </w:rPr>
      </w:r>
    </w:p>
    <w:p>
      <w:pPr>
        <w:pStyle w:val="973"/>
        <w:pBdr/>
        <w:spacing w:after="0"/>
        <w:ind/>
        <w:jc w:val="center"/>
        <w:rPr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 xml:space="preserve">4. НАПРЯМИ ТА ЗАХОДИ ВИКОНАННЯ ПРОГРАМИ</w:t>
      </w:r>
      <w:r>
        <w:rPr>
          <w:b/>
          <w:sz w:val="28"/>
          <w:szCs w:val="28"/>
          <w:lang w:val="uk-UA" w:eastAsia="ar-SA"/>
        </w:rPr>
      </w:r>
      <w:r>
        <w:rPr>
          <w:b/>
          <w:sz w:val="28"/>
          <w:szCs w:val="28"/>
          <w:lang w:val="uk-UA" w:eastAsia="ar-SA"/>
        </w:rPr>
      </w:r>
    </w:p>
    <w:p>
      <w:pPr>
        <w:pStyle w:val="973"/>
        <w:pBdr/>
        <w:spacing w:after="0"/>
        <w:ind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Необхідно розробити ряд проектів, реалізація яких дасть змогу значно поліпшити ситуацію з водопостачанням в населених пунктах громади, а саме: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- роботи з реконструкції системи водопостачання міста Мена шляхом будівництва нових артезіанських свердловин;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- замовлення проектно-кошторисної документації для здійснення реконструкції систем водовідведення;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-</w:t>
      </w:r>
      <w:r>
        <w:rPr>
          <w:sz w:val="28"/>
          <w:szCs w:val="28"/>
          <w:lang w:val="uk-UA" w:eastAsia="ar-SA"/>
        </w:rPr>
        <w:tab/>
        <w:t xml:space="preserve">завершити реконструкцію КНС №1 в м. Мена;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-</w:t>
      </w:r>
      <w:r>
        <w:rPr>
          <w:sz w:val="28"/>
          <w:szCs w:val="28"/>
          <w:lang w:val="uk-UA" w:eastAsia="ar-SA"/>
        </w:rPr>
        <w:tab/>
        <w:t xml:space="preserve">відновлення роботи міських очисних споруд;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- </w:t>
      </w:r>
      <w:r>
        <w:rPr>
          <w:sz w:val="28"/>
          <w:szCs w:val="28"/>
          <w:lang w:val="uk-UA" w:eastAsia="ar-SA"/>
        </w:rPr>
        <w:t xml:space="preserve">закінчити реалізацію проекту «Реконструкція системи водопостачаня з облаштуванням покриття дорожньої мережі по вул. Приозерна, Андрейченка Максима, Калинова в м. Мена Чернігівської області (з виділенням черговості)».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Bdr/>
        <w:spacing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покращ</w:t>
      </w:r>
      <w:r>
        <w:rPr>
          <w:sz w:val="28"/>
          <w:szCs w:val="28"/>
          <w:lang w:val="uk-UA"/>
        </w:rPr>
        <w:t xml:space="preserve">ити які</w:t>
      </w:r>
      <w:r>
        <w:rPr>
          <w:sz w:val="28"/>
          <w:szCs w:val="28"/>
          <w:lang w:val="uk-UA"/>
        </w:rPr>
        <w:t xml:space="preserve">ст</w:t>
      </w:r>
      <w:r>
        <w:rPr>
          <w:sz w:val="28"/>
          <w:szCs w:val="28"/>
          <w:lang w:val="uk-UA"/>
        </w:rPr>
        <w:t xml:space="preserve">ь</w:t>
      </w:r>
      <w:r>
        <w:rPr>
          <w:sz w:val="28"/>
          <w:szCs w:val="28"/>
          <w:lang w:val="uk-UA"/>
        </w:rPr>
        <w:t xml:space="preserve"> води, </w:t>
      </w:r>
      <w:r>
        <w:rPr>
          <w:sz w:val="28"/>
          <w:szCs w:val="28"/>
          <w:lang w:val="uk-UA"/>
        </w:rPr>
        <w:t xml:space="preserve">шляхом змішування з водою, що подається з бучацького горизонту для досягнення показників якості води згідно вимогам ГОСТ 2874-82, по вул. Чернігівський шлях пробурено свердловину №9 на сеноман-нижньокрейдовий горизонт, глибиною 560 м., дебітом 37 м3.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73"/>
        <w:pBdr/>
        <w:spacing w:after="0"/>
        <w:ind w:firstLine="709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Удосконалення водозаборів джерел питного водопостачання та технологій підготовки питної води передбачає: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7"/>
        </w:numPr>
        <w:pBdr/>
        <w:spacing w:after="0"/>
        <w:ind w:firstLine="567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проведення інвентаризації водозаборів підземних вод сільських населених пунктів з визначенням техніко-економічних, санітарно-епідеміологічних та екологічних критеріїв водозаборів;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7"/>
        </w:numPr>
        <w:pBdr/>
        <w:spacing w:after="0"/>
        <w:ind w:firstLine="567" w:left="0"/>
        <w:jc w:val="both"/>
        <w:rPr>
          <w:lang w:val="uk-UA"/>
        </w:rPr>
      </w:pPr>
      <w:r>
        <w:rPr>
          <w:sz w:val="28"/>
          <w:szCs w:val="28"/>
          <w:lang w:val="uk-UA" w:eastAsia="ar-SA"/>
        </w:rPr>
        <w:t xml:space="preserve">здійснення робіт із вдосконалення конструкцій водозабірних свердловин, фільтрів, підйомного обладнання, контрольно-вимірювальної апаратури.</w:t>
      </w:r>
      <w:r>
        <w:rPr>
          <w:lang w:val="uk-UA"/>
        </w:rPr>
      </w:r>
      <w:r>
        <w:rPr>
          <w:lang w:val="uk-UA"/>
        </w:rPr>
      </w:r>
    </w:p>
    <w:p>
      <w:pPr>
        <w:pStyle w:val="973"/>
        <w:pBdr/>
        <w:spacing w:after="0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Розвиток і реконструкція систем питного водопостачання передбачає: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7"/>
        </w:numPr>
        <w:pBdr/>
        <w:spacing w:after="0"/>
        <w:ind w:firstLine="567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проведення інвентаризації інженерних мереж водопостачання на території населених пунктів громади;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7"/>
        </w:numPr>
        <w:pBdr/>
        <w:spacing w:after="0"/>
        <w:ind w:firstLine="567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будівництво та реконструкцію водопровідних споруд;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7"/>
        </w:numPr>
        <w:pBdr/>
        <w:spacing w:after="0"/>
        <w:ind w:firstLine="567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запобігання аваріям на об’єктах питного водопостачання та водовідведення. 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709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Bdr/>
        <w:shd w:val="nil" w:color="auto"/>
        <w:spacing/>
        <w:ind/>
        <w:rPr>
          <w:sz w:val="28"/>
          <w:szCs w:val="28"/>
          <w:lang w:val="uk-UA" w:eastAsia="ar-SA"/>
        </w:rPr>
      </w:pPr>
      <w:r>
        <w:rPr>
          <w:sz w:val="28"/>
          <w:szCs w:val="28"/>
          <w:highlight w:val="none"/>
          <w:lang w:val="uk-UA" w:eastAsia="ar-SA"/>
        </w:rPr>
        <w:br w:type="page" w:clear="all"/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709"/>
        <w:rPr>
          <w:sz w:val="28"/>
          <w:szCs w:val="28"/>
          <w:highlight w:val="none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Виконання Програми здійснюється за такими основними заходами:</w:t>
      </w:r>
      <w:r>
        <w:rPr>
          <w:sz w:val="28"/>
          <w:szCs w:val="28"/>
          <w:highlight w:val="none"/>
          <w:lang w:val="uk-UA" w:eastAsia="ar-SA"/>
        </w:rPr>
      </w:r>
      <w:r>
        <w:rPr>
          <w:sz w:val="28"/>
          <w:szCs w:val="28"/>
          <w:highlight w:val="none"/>
          <w:lang w:val="uk-UA" w:eastAsia="ar-SA"/>
        </w:rPr>
      </w:r>
    </w:p>
    <w:tbl>
      <w:tblPr>
        <w:tblW w:w="9672" w:type="dxa"/>
        <w:tblInd w:w="216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3848"/>
        <w:gridCol w:w="1055"/>
        <w:gridCol w:w="2299"/>
        <w:gridCol w:w="1890"/>
      </w:tblGrid>
      <w:tr>
        <w:trPr>
          <w:trHeight w:val="532"/>
          <w:tblHeader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sz w:val="18"/>
                <w:lang w:val="uk-UA"/>
              </w:rPr>
              <w:t xml:space="preserve">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18"/>
                <w:lang w:val="uk-UA"/>
              </w:rPr>
              <w:t xml:space="preserve">Зміст заходу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18"/>
                <w:lang w:val="uk-UA"/>
              </w:rPr>
              <w:t xml:space="preserve">Термін виконання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18"/>
                <w:lang w:val="uk-UA"/>
              </w:rPr>
              <w:t xml:space="preserve">Відповідальні виконавці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18"/>
                <w:lang w:val="uk-UA"/>
              </w:rPr>
              <w:t xml:space="preserve">Обсяг фінансування, тис. грн.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Перевірка технічного стану діючих об'єктів водопровідно-каналізаційного господарства;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проведення технічного та енергетичного аудиту систем водопостачання та водовідведення;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проведення незалежної оцінки вартості майна мереж водопостачання та водовідведення.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Всього </w:t>
            </w:r>
            <w:r>
              <w:rPr>
                <w:b/>
                <w:sz w:val="22"/>
                <w:lang w:val="uk-UA"/>
              </w:rPr>
              <w:t xml:space="preserve">600</w:t>
            </w:r>
            <w:r>
              <w:rPr>
                <w:sz w:val="22"/>
                <w:lang w:val="uk-UA"/>
              </w:rPr>
              <w:t xml:space="preserve">,</w:t>
            </w:r>
            <w:r>
              <w:rPr>
                <w:b/>
                <w:sz w:val="22"/>
                <w:lang w:val="uk-UA"/>
              </w:rPr>
              <w:t xml:space="preserve">0</w:t>
            </w:r>
            <w:r>
              <w:rPr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2025 р.- 150,0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2026 р.- 200,0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2027 р.- 250,0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Купівля та заміна глибинних насосів на артезіанських свердловинах та КНС (за </w:t>
            </w:r>
            <w:r>
              <w:rPr>
                <w:sz w:val="24"/>
                <w:lang w:val="uk-UA"/>
              </w:rPr>
              <w:t xml:space="preserve">потребою), встановлення засобів комерційного обліку (4 шт);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проведення аварійно-відновлювальних робіт;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гідродинамічна прочистка каналізації;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lang w:val="uk-UA"/>
              </w:rPr>
              <w:t xml:space="preserve">Купівля та заміна електродвигуна на КНС та очисних спорудах; купівля та заміна частотного перетворювача;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</w:t>
            </w:r>
            <w:r>
              <w:rPr>
                <w:color w:val="000000"/>
                <w:sz w:val="22"/>
                <w:lang w:val="uk-UA"/>
              </w:rPr>
              <w:t xml:space="preserve">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Всього:</w:t>
            </w:r>
            <w:r>
              <w:rPr>
                <w:b/>
                <w:sz w:val="22"/>
                <w:lang w:val="uk-UA"/>
              </w:rPr>
              <w:t xml:space="preserve">1700</w:t>
            </w:r>
            <w:r>
              <w:rPr>
                <w:sz w:val="22"/>
                <w:lang w:val="uk-UA"/>
              </w:rPr>
              <w:t xml:space="preserve">,</w:t>
            </w:r>
            <w:r>
              <w:rPr>
                <w:b/>
                <w:sz w:val="22"/>
                <w:lang w:val="uk-UA"/>
              </w:rPr>
              <w:t xml:space="preserve">0</w:t>
            </w:r>
            <w:r>
              <w:rPr>
                <w:sz w:val="22"/>
                <w:lang w:val="uk-UA"/>
              </w:rPr>
              <w:t xml:space="preserve"> з  них:</w:t>
            </w:r>
            <w:r>
              <w:rPr>
                <w:sz w:val="22"/>
                <w:lang w:val="uk-UA"/>
              </w:rPr>
            </w:r>
            <w:r>
              <w:rPr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2025 р.-500,0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2026 р.- 600,0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2027 р.- 600,0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3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Встановлення огорож території артезіанських свердловин</w:t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Всього: </w:t>
            </w:r>
            <w:r>
              <w:rPr>
                <w:b/>
                <w:sz w:val="22"/>
                <w:lang w:val="uk-UA"/>
              </w:rPr>
              <w:t xml:space="preserve">300</w:t>
            </w:r>
            <w:r>
              <w:rPr>
                <w:sz w:val="22"/>
                <w:lang w:val="uk-UA"/>
              </w:rPr>
              <w:t xml:space="preserve">,</w:t>
            </w:r>
            <w:r>
              <w:rPr>
                <w:b/>
                <w:sz w:val="22"/>
                <w:lang w:val="uk-UA"/>
              </w:rPr>
              <w:t xml:space="preserve">0</w:t>
            </w:r>
            <w:r>
              <w:rPr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2025 р.</w:t>
            </w:r>
            <w:r>
              <w:rPr>
                <w:sz w:val="22"/>
                <w:lang w:val="uk-UA"/>
              </w:rPr>
              <w:t xml:space="preserve">-100,0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2026 р.-100,0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2027 р.-100,0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4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Купівля, встановлення, монтаж комплектуючих для енергозберігаючого обладнання</w:t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Всього: </w:t>
            </w:r>
            <w:r>
              <w:rPr>
                <w:b/>
                <w:sz w:val="22"/>
                <w:lang w:val="uk-UA"/>
              </w:rPr>
              <w:t xml:space="preserve">600,0</w:t>
            </w:r>
            <w:r>
              <w:rPr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2025 р.-200,0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2026 р.-200,0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2027 р.-200,0</w:t>
            </w:r>
            <w:r>
              <w:rPr>
                <w:sz w:val="22"/>
                <w:lang w:val="uk-UA"/>
              </w:rPr>
            </w:r>
            <w:r>
              <w:rPr>
                <w:sz w:val="22"/>
                <w:lang w:val="uk-UA"/>
              </w:rPr>
            </w:r>
          </w:p>
        </w:tc>
      </w:tr>
      <w:tr>
        <w:trPr>
          <w:trHeight w:val="128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5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Оформлення земельних ділянок під свердловинами та водонапірними баштами, очисними спорудами на території Менської міської територіальної громади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Всього: </w:t>
            </w:r>
            <w:r>
              <w:rPr>
                <w:b/>
                <w:sz w:val="22"/>
                <w:lang w:val="uk-UA"/>
              </w:rPr>
              <w:t xml:space="preserve">270</w:t>
            </w:r>
            <w:r>
              <w:rPr>
                <w:sz w:val="22"/>
                <w:lang w:val="uk-UA"/>
              </w:rPr>
              <w:t xml:space="preserve">,</w:t>
            </w:r>
            <w:r>
              <w:rPr>
                <w:b/>
                <w:sz w:val="22"/>
                <w:lang w:val="uk-UA"/>
              </w:rPr>
              <w:t xml:space="preserve">0 </w:t>
            </w:r>
            <w:r>
              <w:rPr>
                <w:sz w:val="22"/>
                <w:lang w:val="uk-UA"/>
              </w:rPr>
              <w:t xml:space="preserve">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2025 р.-80,0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2026 р.-90,0 2027 р.-100,0</w:t>
            </w:r>
            <w:r>
              <w:rPr>
                <w:color w:val="000000"/>
                <w:sz w:val="22"/>
                <w:lang w:val="uk-UA"/>
              </w:rPr>
              <w:t xml:space="preserve"> 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1179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6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Відбір аналізів та дослідження якості питної води, проведення заходів з паспортизації громадських колодязів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sz w:val="22"/>
                <w:lang w:val="uk-UA"/>
              </w:rPr>
              <w:t xml:space="preserve">854,000</w:t>
            </w:r>
            <w:r>
              <w:rPr>
                <w:sz w:val="22"/>
                <w:lang w:val="uk-UA"/>
              </w:rPr>
              <w:t xml:space="preserve">, з них: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2"/>
                <w:szCs w:val="22"/>
                <w:lang w:val="uk-UA"/>
              </w:rPr>
            </w:pPr>
            <w:r>
              <w:rPr>
                <w:sz w:val="22"/>
                <w:lang w:val="uk-UA"/>
              </w:rPr>
              <w:t xml:space="preserve">2025 р.</w:t>
            </w:r>
            <w:r>
              <w:rPr>
                <w:sz w:val="22"/>
                <w:lang w:val="uk-UA"/>
              </w:rPr>
              <w:t xml:space="preserve">-</w:t>
            </w:r>
            <w:r>
              <w:rPr>
                <w:sz w:val="22"/>
                <w:lang w:val="uk-UA"/>
              </w:rPr>
              <w:t xml:space="preserve">305,0</w:t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2"/>
                <w:szCs w:val="22"/>
                <w:lang w:val="uk-UA"/>
              </w:rPr>
            </w:pPr>
            <w:r>
              <w:rPr>
                <w:sz w:val="22"/>
                <w:lang w:val="uk-UA"/>
              </w:rPr>
              <w:t xml:space="preserve">2026 р.– 305,0</w:t>
            </w:r>
            <w:r>
              <w:rPr>
                <w:sz w:val="22"/>
                <w:szCs w:val="22"/>
                <w:lang w:val="uk-UA"/>
              </w:rPr>
            </w:r>
            <w:r>
              <w:rPr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sz w:val="22"/>
                <w:lang w:val="uk-UA"/>
              </w:rPr>
              <w:t xml:space="preserve">2027 р.</w:t>
            </w:r>
            <w:r>
              <w:rPr>
                <w:sz w:val="22"/>
                <w:lang w:val="uk-UA"/>
              </w:rPr>
              <w:t xml:space="preserve">–244,0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2162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7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Реконструкція комплексу очисних споруд м.Мена, який розташований за межами міста Мена, Менської міської територіальної громади, Корюківського району, Чернігівської області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Вартість будівельних робіт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 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 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22000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</w:t>
            </w:r>
            <w:r>
              <w:rPr>
                <w:color w:val="000000"/>
                <w:sz w:val="22"/>
                <w:lang w:val="uk-UA"/>
              </w:rPr>
              <w:t xml:space="preserve"> з них: 2025 р.-22000,0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before="147"/>
              <w:ind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     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130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 8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Проведення ліквідаційного санітарно-технічного тампонажу недіючих та безхазяйних  свердловини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1000,0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р–</w:t>
            </w:r>
            <w:r>
              <w:rPr>
                <w:color w:val="000000"/>
                <w:sz w:val="22"/>
                <w:lang w:val="uk-UA"/>
              </w:rPr>
              <w:t xml:space="preserve">350,0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</w:t>
            </w:r>
            <w:r>
              <w:rPr>
                <w:color w:val="000000"/>
                <w:sz w:val="22"/>
                <w:lang w:val="uk-UA"/>
              </w:rPr>
              <w:t xml:space="preserve">–350,0 2027 р.</w:t>
            </w:r>
            <w:r>
              <w:rPr>
                <w:color w:val="000000"/>
                <w:sz w:val="22"/>
                <w:lang w:val="uk-UA"/>
              </w:rPr>
              <w:t xml:space="preserve">–</w:t>
            </w:r>
            <w:r>
              <w:rPr>
                <w:color w:val="000000"/>
                <w:sz w:val="22"/>
                <w:lang w:val="uk-UA"/>
              </w:rPr>
              <w:t xml:space="preserve">300,0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</w:tr>
      <w:tr>
        <w:trPr>
          <w:trHeight w:val="1214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9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Технічна інвентаризація з виготовлення технічних паспортів на об’єкти водопостачання, водовідведення, очисних споруд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b/>
                <w:color w:val="000000"/>
                <w:sz w:val="22"/>
                <w:lang w:val="uk-UA"/>
              </w:rPr>
            </w:pPr>
            <w:r>
              <w:rPr>
                <w:b/>
                <w:color w:val="000000"/>
                <w:sz w:val="22"/>
                <w:lang w:val="uk-UA"/>
              </w:rPr>
              <w:t xml:space="preserve">60,0</w:t>
            </w:r>
            <w:r>
              <w:rPr>
                <w:b/>
                <w:color w:val="000000"/>
                <w:sz w:val="22"/>
                <w:lang w:val="uk-UA"/>
              </w:rPr>
            </w:r>
            <w:r>
              <w:rPr>
                <w:b/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р.-15,0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</w:t>
            </w:r>
            <w:r>
              <w:rPr>
                <w:color w:val="000000"/>
                <w:sz w:val="22"/>
                <w:lang w:val="uk-UA"/>
              </w:rPr>
              <w:t xml:space="preserve">-20,0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center" w:leader="none" w:pos="766"/>
              </w:tabs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2027 р.</w:t>
            </w:r>
            <w:r>
              <w:rPr>
                <w:color w:val="000000"/>
                <w:sz w:val="22"/>
                <w:lang w:val="uk-UA"/>
              </w:rPr>
              <w:t xml:space="preserve">-25,0 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cantSplit/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10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Витрати на оплату сертифіката готовності об’єкта до експлуатації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52,0 </w:t>
            </w:r>
            <w:r>
              <w:rPr>
                <w:color w:val="000000"/>
                <w:sz w:val="22"/>
                <w:lang w:val="uk-UA"/>
              </w:rPr>
              <w:t xml:space="preserve">з них: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р.- 15,0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р.-</w:t>
            </w:r>
            <w:r>
              <w:rPr>
                <w:color w:val="000000"/>
                <w:sz w:val="22"/>
                <w:lang w:val="uk-UA"/>
              </w:rPr>
              <w:t xml:space="preserve">17,0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2027 р.</w:t>
            </w:r>
            <w:r>
              <w:rPr>
                <w:color w:val="000000"/>
                <w:sz w:val="22"/>
                <w:lang w:val="uk-UA"/>
              </w:rPr>
              <w:t xml:space="preserve">-20,0 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11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Виконання виконавчої контрольної-геодезичної зйомки 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М 1:500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2025 - 2027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190,0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р.</w:t>
            </w:r>
            <w:r>
              <w:rPr>
                <w:color w:val="000000"/>
                <w:sz w:val="22"/>
                <w:lang w:val="uk-UA"/>
              </w:rPr>
              <w:t xml:space="preserve">-60,0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</w:t>
            </w:r>
            <w:r>
              <w:rPr>
                <w:color w:val="000000"/>
                <w:sz w:val="22"/>
                <w:lang w:val="uk-UA"/>
              </w:rPr>
              <w:t xml:space="preserve">-65,0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2027 р.</w:t>
            </w:r>
            <w:r>
              <w:rPr>
                <w:color w:val="000000"/>
                <w:sz w:val="22"/>
                <w:lang w:val="uk-UA"/>
              </w:rPr>
              <w:t xml:space="preserve">-65,0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12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Реконструкція каналізаційної мережі від буд.2 до буд. 6 по вул. Корольова та до вул. Героїв АТО в м. Мена, Чернігівської області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Виконання топографічної зйомки  М 1:500</w:t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Вартість буд</w:t>
            </w:r>
            <w:r>
              <w:rPr>
                <w:sz w:val="24"/>
                <w:szCs w:val="22"/>
                <w:lang w:val="uk-UA"/>
              </w:rPr>
              <w:t xml:space="preserve">івельних робіт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2680,0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</w:t>
            </w:r>
            <w:r>
              <w:rPr>
                <w:color w:val="000000"/>
                <w:sz w:val="22"/>
                <w:lang w:val="uk-UA"/>
              </w:rPr>
              <w:t xml:space="preserve">рік-2680, 0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</w:t>
            </w:r>
            <w:r>
              <w:rPr>
                <w:color w:val="000000"/>
                <w:sz w:val="22"/>
                <w:lang w:val="uk-UA"/>
              </w:rPr>
              <w:t xml:space="preserve"> тому числі: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30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150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2500,0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13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Реконструкція очисних споруд в с. Макошине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Топографічної зйомки М 1:500</w:t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lang w:val="uk-UA"/>
              </w:rPr>
            </w:pP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  <w:r>
              <w:rPr>
                <w:color w:val="000000"/>
                <w:sz w:val="24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lang w:val="uk-UA"/>
              </w:rPr>
            </w:pPr>
            <w:r>
              <w:rPr>
                <w:lang w:val="uk-UA"/>
              </w:rPr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Вартість будівельних робіт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  <w:lang w:val="uk-UA"/>
              </w:rPr>
            </w:pP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10240,0 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з них:</w:t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  <w:lang w:val="uk-UA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</w:t>
            </w:r>
            <w:r>
              <w:rPr>
                <w:color w:val="000000"/>
                <w:sz w:val="22"/>
                <w:lang w:val="uk-UA"/>
              </w:rPr>
              <w:t xml:space="preserve">–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240,0</w:t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</w:t>
            </w:r>
            <w:r>
              <w:rPr>
                <w:color w:val="000000"/>
                <w:sz w:val="22"/>
                <w:lang w:val="uk-UA"/>
              </w:rPr>
              <w:t xml:space="preserve">–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10000,0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2027 р. –  0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в тому числі: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40,0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10000,0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14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Реконструкція водопровідної мережі по вул.Приозерна в м. Мена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600,0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 р.– 600,0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15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Реконструкція водопровідної мережі по вул. Троїцька в м. Мена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600,0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  <w:sz w:val="22"/>
                <w:szCs w:val="22"/>
                <w:lang w:val="uk-UA"/>
              </w:rPr>
            </w:r>
            <w:r>
              <w:rPr>
                <w:color w:val="000000"/>
                <w:sz w:val="22"/>
                <w:szCs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2027 р. – 600,0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16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31" w:lineRule="auto"/>
              <w:ind/>
              <w:rPr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Реконструкція водопровідної мережі по вул. Мічуріна в м. Мена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1000,0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р.–1000,0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17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31" w:lineRule="auto"/>
              <w:ind/>
              <w:rPr>
                <w:lang w:val="uk-UA"/>
              </w:rPr>
            </w:pPr>
            <w:r>
              <w:rPr>
                <w:color w:val="000000"/>
                <w:sz w:val="24"/>
                <w:lang w:val="uk-UA"/>
              </w:rPr>
              <w:t xml:space="preserve">Реконструкція водопровідної мережі по вул. Армійська, провул.Сидоренка в м. Мена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2000,0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 р.– 2000,0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18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sz w:val="24"/>
                <w:szCs w:val="22"/>
                <w:lang w:val="uk-UA"/>
              </w:rPr>
              <w:t xml:space="preserve">Поточний ремонт зливової каналізації (5 відрізків)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900,0 </w:t>
            </w:r>
            <w:r>
              <w:rPr>
                <w:color w:val="000000"/>
                <w:sz w:val="22"/>
                <w:lang w:val="uk-UA"/>
              </w:rPr>
              <w:t xml:space="preserve">з них:</w:t>
            </w:r>
            <w:r>
              <w:rPr>
                <w:color w:val="000000"/>
                <w:lang w:val="uk-UA"/>
              </w:rPr>
            </w:r>
            <w:r>
              <w:rPr>
                <w:color w:val="000000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  <w:lang w:val="uk-UA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р.-300,0</w:t>
            </w: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  <w:lang w:val="uk-UA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р.-300,0</w:t>
            </w: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  <w:lang w:val="uk-UA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2027 р.-300,0 </w:t>
            </w: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Merge w:val="restart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19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848" w:type="dxa"/>
            <w:vMerge w:val="restart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Будівництво резервної лінії 0,4 кВ від ЗТП-393-11 до точки водозабору по вул. Чернігівський шлях в м Мена  Корюківського р-ну, Чернігівської обл.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Оплата технічних умов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Виготовлення проєктно-кошторисної документації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Виконання топографічної зйомки  М 1:500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Проведення експертизи проєктно-кошторисної документації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sz w:val="24"/>
                <w:szCs w:val="22"/>
                <w:lang w:val="uk-U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Вартість будівельних робіт</w:t>
            </w:r>
            <w:r>
              <w:rPr>
                <w:sz w:val="24"/>
                <w:szCs w:val="22"/>
                <w:lang w:val="uk-UA"/>
              </w:rPr>
            </w:r>
            <w:r>
              <w:rPr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Merge w:val="restart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Merge w:val="restart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Merge w:val="restart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Всього: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2"/>
              </w:rPr>
              <w:t xml:space="preserve">2160,0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 з них: 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2025 р.-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50,0</w:t>
            </w:r>
            <w:r>
              <w:rPr>
                <w:sz w:val="20"/>
              </w:rPr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70,0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25,0</w:t>
            </w:r>
            <w:r>
              <w:rPr>
                <w:sz w:val="20"/>
              </w:rPr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15,0</w:t>
            </w:r>
            <w:r>
              <w:rPr>
                <w:sz w:val="20"/>
              </w:rPr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</w:rPr>
              <w:t xml:space="preserve">2000,0</w:t>
            </w:r>
            <w:r>
              <w:rPr>
                <w:sz w:val="20"/>
              </w:rPr>
            </w:r>
            <w:r/>
          </w:p>
        </w:tc>
      </w:tr>
    </w:tbl>
    <w:p>
      <w:pPr>
        <w:pStyle w:val="973"/>
        <w:pBdr/>
        <w:spacing w:after="0"/>
        <w:ind w:firstLine="709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770"/>
        <w:pBdr/>
        <w:spacing w:after="0" w:before="0"/>
        <w:ind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5. ФІНАНСОВЕ ЗАБЕЗПЕЧЕННЯ ПРОГРАМИ</w:t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</w:p>
    <w:p>
      <w:pPr>
        <w:pStyle w:val="973"/>
        <w:suppressLineNumbers w:val="false"/>
        <w:pBdr/>
        <w:spacing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Фінансування Програми </w:t>
      </w:r>
      <w:r>
        <w:rPr>
          <w:sz w:val="28"/>
          <w:szCs w:val="28"/>
          <w:lang w:val="uk-UA" w:eastAsia="ar-SA"/>
        </w:rPr>
        <w:t xml:space="preserve">здійснюється </w:t>
      </w:r>
      <w:r>
        <w:rPr>
          <w:sz w:val="28"/>
          <w:szCs w:val="28"/>
          <w:lang w:val="uk-UA" w:eastAsia="ar-SA"/>
        </w:rPr>
        <w:t xml:space="preserve">за рахунок: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коштів місцевого бюджету (з врахуванням </w:t>
      </w:r>
      <w:r>
        <w:rPr>
          <w:sz w:val="28"/>
          <w:szCs w:val="28"/>
          <w:lang w:val="uk-UA" w:eastAsia="ar-SA"/>
        </w:rPr>
        <w:t xml:space="preserve">фінансових можливостей бюджету, в межах передбачених на кожен рік у бюджеті Менської міської територіальної громади</w:t>
      </w:r>
      <w:r>
        <w:rPr>
          <w:sz w:val="28"/>
          <w:szCs w:val="28"/>
          <w:lang w:val="uk-UA" w:eastAsia="ar-SA"/>
        </w:rPr>
        <w:t xml:space="preserve">);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коштів Державного бюджету;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коштів комунальних підприємств, що надають послуги з водопостачання та водовідведення відповідно до програм їх розвитку, затверджених Менською міською радою в порядку, встановленому законодавством;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інших джерел не заборонених законодавством України.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770"/>
        <w:pBdr/>
        <w:spacing w:after="0" w:before="0"/>
        <w:ind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</w:p>
    <w:p>
      <w:pPr>
        <w:pStyle w:val="770"/>
        <w:pBdr/>
        <w:spacing w:after="0" w:before="0"/>
        <w:ind/>
        <w:jc w:val="center"/>
        <w:rPr>
          <w:rFonts w:ascii="Times New Roman" w:hAnsi="Times New Roman"/>
          <w:b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6. ОЧІКУВАНІ РЕЗУЛЬТАТИ ВИКОНАННЯ</w:t>
      </w:r>
      <w:r>
        <w:rPr>
          <w:rFonts w:ascii="Times New Roman" w:hAnsi="Times New Roman"/>
          <w:lang w:val="uk-UA" w:eastAsia="ar-S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ПРОГРАМИ,ВИЗНАЧЕННЯ ЇЇ ЕФЕКТИВНОСТІ</w:t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  <w:r>
        <w:rPr>
          <w:rFonts w:ascii="Times New Roman" w:hAnsi="Times New Roman"/>
          <w:b/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Результатом виконання програми стане покращення надання послуг, а саме: зростання кількості споживачів, покращення якості питної води в громаді, зниження рівня захворюваності жителів громади</w:t>
      </w:r>
      <w:r>
        <w:rPr>
          <w:sz w:val="28"/>
          <w:szCs w:val="28"/>
          <w:lang w:val="uk-UA" w:eastAsia="ar-SA"/>
        </w:rPr>
        <w:t xml:space="preserve">, зменшення кількості аварійних робіт, зменшення відсотку зношуваності інженерних мереж та збільшення їх протяжності.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pBdr/>
        <w:spacing w:after="0"/>
        <w:ind w:firstLine="567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Виконання Програми дасть можливість забезпечити: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реалізацію державної політики у сфері питної води та питного </w:t>
      </w:r>
      <w:bookmarkStart w:id="0" w:name="_GoBack"/>
      <w:r/>
      <w:bookmarkEnd w:id="0"/>
      <w:r>
        <w:rPr>
          <w:sz w:val="28"/>
          <w:szCs w:val="28"/>
          <w:lang w:val="uk-UA" w:eastAsia="ar-SA"/>
        </w:rPr>
        <w:t xml:space="preserve">водопостачання;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підвищення рівня якості послуг з питного водопостачання та водовідведення, що надаються населенню та якості питної води;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поліпшення санітарно-епідемічної ситуації щодо забезпечення питною водою та зниження внаслідок цього захворюваності населення;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охорону і раціональне використання джерел питного водопостачання;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впровадження на об’єктах питного водопостачання та водовідведення сучасних технологій, матеріалів, обладнання тощо;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зменшення непродуктовних втрат питної води і як наслідок – собівартості надання послуг з водопостачання;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Style w:val="973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  <w:t xml:space="preserve">модернізацію інфраструктури об’єктів питного водопостачання.</w:t>
      </w:r>
      <w:r>
        <w:rPr>
          <w:sz w:val="28"/>
          <w:szCs w:val="28"/>
          <w:lang w:val="uk-UA" w:eastAsia="ar-SA"/>
        </w:rPr>
      </w:r>
      <w:r>
        <w:rPr>
          <w:sz w:val="28"/>
          <w:szCs w:val="28"/>
          <w:lang w:val="uk-UA" w:eastAsia="ar-SA"/>
        </w:rPr>
      </w:r>
    </w:p>
    <w:p>
      <w:pPr>
        <w:pBdr/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Bdr/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Bdr/>
        <w:spacing/>
        <w:ind/>
        <w:rPr>
          <w:sz w:val="28"/>
          <w:lang w:val="uk-UA"/>
        </w:rPr>
      </w:pPr>
      <w:r>
        <w:rPr>
          <w:sz w:val="28"/>
          <w:lang w:val="uk-UA"/>
        </w:rPr>
        <w:t xml:space="preserve">Начальник відділу ЖКГ</w:t>
      </w:r>
      <w:r>
        <w:rPr>
          <w:sz w:val="28"/>
          <w:lang w:val="uk-UA"/>
        </w:rPr>
      </w:r>
      <w:r>
        <w:rPr>
          <w:sz w:val="28"/>
          <w:lang w:val="uk-UA"/>
        </w:rPr>
      </w:r>
    </w:p>
    <w:p>
      <w:pPr>
        <w:pBdr/>
        <w:spacing/>
        <w:ind/>
        <w:rPr>
          <w:lang w:val="uk-UA"/>
        </w:rPr>
      </w:pPr>
      <w:r>
        <w:rPr>
          <w:sz w:val="28"/>
          <w:lang w:val="uk-UA"/>
        </w:rPr>
        <w:t xml:space="preserve">та комунального майна</w:t>
      </w:r>
      <w:r>
        <w:rPr>
          <w:lang w:val="uk-UA"/>
        </w:rPr>
      </w:r>
      <w:r>
        <w:rPr>
          <w:lang w:val="uk-UA"/>
        </w:rPr>
      </w:r>
    </w:p>
    <w:p>
      <w:pPr>
        <w:pBdr/>
        <w:spacing/>
        <w:ind/>
        <w:rPr>
          <w:lang w:val="uk-UA"/>
        </w:rPr>
      </w:pPr>
      <w:r>
        <w:rPr>
          <w:sz w:val="28"/>
          <w:lang w:val="uk-UA"/>
        </w:rPr>
        <w:t xml:space="preserve">Менської міської ради                                                            Ірина ЄКИМЕНКО</w:t>
      </w:r>
      <w:r>
        <w:rPr>
          <w:lang w:val="uk-UA"/>
        </w:rPr>
      </w:r>
      <w:r>
        <w:rPr>
          <w:lang w:val="uk-UA"/>
        </w:rPr>
      </w:r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134" w:right="567" w:bottom="1134" w:left="1701" w:header="709" w:footer="709" w:gutter="0"/>
      <w:pgNumType w:start="1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Courier New">
    <w:panose1 w:val="02070309020205020404"/>
  </w:font>
  <w:font w:name="OpenSymbol">
    <w:panose1 w:val="05010000000000000000"/>
  </w:font>
  <w:font w:name="Droid Sans">
    <w:panose1 w:val="020B0502000000000001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4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2"/>
      <w:pBdr/>
      <w:spacing/>
      <w:ind w:firstLine="3685"/>
      <w:jc w:val="right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6</w:t>
    </w:r>
    <w:r>
      <w:fldChar w:fldCharType="end"/>
    </w:r>
    <w:r>
      <w:t xml:space="preserve"> </w:t>
    </w:r>
    <w:r>
      <w:tab/>
      <w:t xml:space="preserve">                                                          продовження додатка</w:t>
    </w:r>
    <w:r/>
  </w:p>
  <w:p>
    <w:pPr>
      <w:pStyle w:val="1002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2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2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left" w:leader="none" w:pos="0"/>
        </w:tabs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left" w:leader="none" w:pos="1080"/>
        </w:tabs>
        <w:spacing/>
        <w:ind w:hanging="359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1800"/>
        </w:tabs>
        <w:spacing/>
        <w:ind w:hanging="359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left" w:leader="none" w:pos="2160"/>
        </w:tabs>
        <w:spacing/>
        <w:ind w:hanging="359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left" w:leader="none" w:pos="2520"/>
        </w:tabs>
        <w:spacing/>
        <w:ind w:hanging="359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left" w:leader="none" w:pos="3240"/>
        </w:tabs>
        <w:spacing/>
        <w:ind w:hanging="359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</w:abstractNum>
  <w:abstractNum w:abstractNumId="5">
    <w:lvl w:ilvl="0">
      <w:isLgl w:val="false"/>
      <w:lvlJc w:val="left"/>
      <w:lvlText w:val="Ē駞煓쐨Ē셸؃,%1셐؃쀀؃쎐Ē馧煕,䊴̏쐨Ē䊴̏쀜؃쎤Ēᦄ父"/>
      <w:numFmt w:val="decimal"/>
      <w:pPr>
        <w:pBdr/>
        <w:tabs>
          <w:tab w:val="left" w:leader="none" w:pos="0"/>
        </w:tabs>
        <w:spacing/>
        <w:ind w:hanging="431" w:left="432"/>
      </w:pPr>
      <w:rPr/>
      <w:start w:val="1"/>
      <w:suff w:val="nothing"/>
    </w:lvl>
    <w:lvl w:ilvl="1">
      <w:isLgl w:val="false"/>
      <w:lvlJc w:val="left"/>
      <w:lvlText/>
      <w:numFmt w:val="none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/>
      <w:numFmt w:val="none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863" w:left="864"/>
      </w:pPr>
      <w:rPr/>
      <w:start w:val="1"/>
      <w:suff w:val="nothing"/>
    </w:lvl>
    <w:lvl w:ilvl="4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007" w:left="1008"/>
      </w:pPr>
      <w:rPr/>
      <w:start w:val="1"/>
      <w:suff w:val="nothing"/>
    </w:lvl>
    <w:lvl w:ilvl="5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151" w:left="1152"/>
      </w:pPr>
      <w:rPr/>
      <w:start w:val="1"/>
      <w:suff w:val="nothing"/>
    </w:lvl>
    <w:lvl w:ilvl="6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295" w:left="1296"/>
      </w:pPr>
      <w:rPr/>
      <w:start w:val="1"/>
      <w:suff w:val="nothing"/>
    </w:lvl>
    <w:lvl w:ilvl="7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439" w:left="1440"/>
      </w:pPr>
      <w:rPr/>
      <w:start w:val="1"/>
      <w:suff w:val="nothing"/>
    </w:lvl>
    <w:lvl w:ilvl="8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583" w:left="1584"/>
      </w:pPr>
      <w:rPr/>
      <w:start w:val="1"/>
      <w:suff w:val="nothing"/>
    </w:lvl>
  </w:abstractNum>
  <w:abstractNum w:abstractNumId="6">
    <w:lvl w:ilvl="0">
      <w:isLgl w:val="false"/>
      <w:lvlJc w:val="left"/>
      <w:lvlText w:val="Ē駞煓쐨Ē遠׷,%1遈׷退׷쎐Ē馧煕,䊴̏쐨Ē䊴̏逜׷쎤Ēᦄ父"/>
      <w:numFmt w:val="decimal"/>
      <w:pPr>
        <w:pBdr/>
        <w:tabs>
          <w:tab w:val="left" w:leader="none" w:pos="0"/>
        </w:tabs>
        <w:spacing/>
        <w:ind w:hanging="359" w:left="720"/>
      </w:pPr>
      <w:rPr/>
      <w:start w:val="1"/>
      <w:suff w:val="nothing"/>
    </w:lvl>
    <w:lvl w:ilvl="1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080"/>
      </w:pPr>
      <w:rPr/>
      <w:start w:val="1"/>
      <w:suff w:val="nothing"/>
    </w:lvl>
    <w:lvl w:ilvl="2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440"/>
      </w:pPr>
      <w:rPr/>
      <w:start w:val="1"/>
      <w:suff w:val="nothing"/>
    </w:lvl>
    <w:lvl w:ilvl="3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800"/>
      </w:pPr>
      <w:rPr/>
      <w:start w:val="1"/>
      <w:suff w:val="nothing"/>
    </w:lvl>
    <w:lvl w:ilvl="4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160"/>
      </w:pPr>
      <w:rPr/>
      <w:start w:val="1"/>
      <w:suff w:val="nothing"/>
    </w:lvl>
    <w:lvl w:ilvl="5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520"/>
      </w:pPr>
      <w:rPr/>
      <w:start w:val="1"/>
      <w:suff w:val="nothing"/>
    </w:lvl>
    <w:lvl w:ilvl="6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880"/>
      </w:pPr>
      <w:rPr/>
      <w:start w:val="1"/>
      <w:suff w:val="nothing"/>
    </w:lvl>
    <w:lvl w:ilvl="7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3240"/>
      </w:pPr>
      <w:rPr/>
      <w:start w:val="1"/>
      <w:suff w:val="nothing"/>
    </w:lvl>
    <w:lvl w:ilvl="8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3600"/>
      </w:pPr>
      <w:rPr/>
      <w:start w:val="1"/>
      <w:suff w:val="nothing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1287"/>
      </w:pPr>
      <w:rPr>
        <w:rFonts w:ascii="Times New Roman" w:hAnsi="Times New Roman" w:eastAsia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047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59" w:left="1287"/>
      </w:pPr>
      <w:rPr>
        <w:rFonts w:ascii="Times New Roman" w:hAnsi="Times New Roman" w:eastAsia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047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6480"/>
      </w:pPr>
      <w:rPr>
        <w:rFonts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59" w:left="720"/>
      </w:pPr>
      <w:rPr>
        <w:rFonts w:ascii="OpenSymbol" w:hAnsi="Open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left" w:leader="none" w:pos="1080"/>
        </w:tabs>
        <w:spacing/>
        <w:ind w:hanging="359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1800"/>
        </w:tabs>
        <w:spacing/>
        <w:ind w:hanging="359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left" w:leader="none" w:pos="2160"/>
        </w:tabs>
        <w:spacing/>
        <w:ind w:hanging="359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left" w:leader="none" w:pos="2520"/>
        </w:tabs>
        <w:spacing/>
        <w:ind w:hanging="359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left" w:leader="none" w:pos="3240"/>
        </w:tabs>
        <w:spacing/>
        <w:ind w:hanging="359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9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9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9" w:left="6480"/>
      </w:pPr>
      <w:rPr/>
      <w:start w:val="1"/>
      <w:suff w:val="tab"/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4"/>
  </w:num>
  <w:num w:numId="5">
    <w:abstractNumId w:val="9"/>
  </w:num>
  <w:num w:numId="6">
    <w:abstractNumId w:val="1"/>
  </w:num>
  <w:num w:numId="7">
    <w:abstractNumId w:val="10"/>
  </w:num>
  <w:num w:numId="8">
    <w:abstractNumId w:val="11"/>
  </w:num>
  <w:num w:numId="9">
    <w:abstractNumId w:val="3"/>
  </w:num>
  <w:num w:numId="10">
    <w:abstractNumId w:val="2"/>
  </w:num>
  <w:num w:numId="11">
    <w:abstractNumId w:val="0"/>
  </w:num>
  <w:num w:numId="12">
    <w:abstractNumId w:val="12"/>
  </w:num>
  <w:num w:numId="13">
    <w:abstractNumId w:val="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8">
    <w:name w:val="Heading 1 Char"/>
    <w:basedOn w:val="778"/>
    <w:link w:val="7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59">
    <w:name w:val="Heading 2 Char"/>
    <w:basedOn w:val="778"/>
    <w:link w:val="7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60">
    <w:name w:val="Heading 3 Char"/>
    <w:basedOn w:val="778"/>
    <w:link w:val="7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61">
    <w:name w:val="Heading 4 Char"/>
    <w:basedOn w:val="778"/>
    <w:link w:val="7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62">
    <w:name w:val="Heading 5 Char"/>
    <w:basedOn w:val="778"/>
    <w:link w:val="7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63">
    <w:name w:val="Heading 6 Char"/>
    <w:basedOn w:val="778"/>
    <w:link w:val="7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64">
    <w:name w:val="Heading 7 Char"/>
    <w:basedOn w:val="778"/>
    <w:link w:val="7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65">
    <w:name w:val="Heading 8 Char"/>
    <w:basedOn w:val="778"/>
    <w:link w:val="7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6">
    <w:name w:val="Heading 9 Char"/>
    <w:basedOn w:val="778"/>
    <w:link w:val="7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67">
    <w:name w:val="Title Char"/>
    <w:basedOn w:val="778"/>
    <w:link w:val="78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link w:val="931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480"/>
      <w:ind/>
      <w:outlineLvl w:val="0"/>
    </w:pPr>
    <w:rPr>
      <w:rFonts w:ascii="Arial" w:hAnsi="Arial" w:eastAsia="Arial"/>
      <w:sz w:val="40"/>
      <w:szCs w:val="40"/>
    </w:rPr>
  </w:style>
  <w:style w:type="paragraph" w:styleId="770">
    <w:name w:val="Heading 2"/>
    <w:link w:val="932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60"/>
      <w:ind/>
      <w:outlineLvl w:val="1"/>
    </w:pPr>
    <w:rPr>
      <w:rFonts w:ascii="Arial" w:hAnsi="Arial" w:eastAsia="Arial"/>
      <w:sz w:val="34"/>
      <w:szCs w:val="22"/>
    </w:rPr>
  </w:style>
  <w:style w:type="paragraph" w:styleId="771">
    <w:name w:val="Heading 3"/>
    <w:link w:val="933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72">
    <w:name w:val="Heading 4"/>
    <w:link w:val="934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3"/>
    </w:pPr>
    <w:rPr>
      <w:rFonts w:ascii="Arial" w:hAnsi="Arial" w:eastAsia="Arial"/>
      <w:b/>
      <w:bCs/>
      <w:sz w:val="26"/>
      <w:szCs w:val="26"/>
    </w:rPr>
  </w:style>
  <w:style w:type="paragraph" w:styleId="773">
    <w:name w:val="Heading 5"/>
    <w:link w:val="935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74">
    <w:name w:val="Heading 6"/>
    <w:link w:val="936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75">
    <w:name w:val="Heading 7"/>
    <w:link w:val="937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76">
    <w:name w:val="Heading 8"/>
    <w:link w:val="938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77">
    <w:name w:val="Heading 9"/>
    <w:link w:val="939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character" w:styleId="778" w:default="1">
    <w:name w:val="Default Paragraph Font"/>
    <w:uiPriority w:val="1"/>
    <w:semiHidden/>
    <w:unhideWhenUsed/>
    <w:pPr>
      <w:pBdr/>
      <w:spacing/>
      <w:ind/>
    </w:pPr>
  </w:style>
  <w:style w:type="table" w:styleId="779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0" w:default="1">
    <w:name w:val="No List"/>
    <w:uiPriority w:val="99"/>
    <w:semiHidden/>
    <w:unhideWhenUsed/>
    <w:pPr>
      <w:pBdr/>
      <w:spacing/>
      <w:ind/>
    </w:pPr>
  </w:style>
  <w:style w:type="table" w:styleId="781">
    <w:name w:val="Table Grid"/>
    <w:basedOn w:val="779"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2">
    <w:name w:val="Title"/>
    <w:basedOn w:val="768"/>
    <w:next w:val="973"/>
    <w:link w:val="808"/>
    <w:pPr>
      <w:keepNext w:val="true"/>
      <w:pBdr/>
      <w:spacing w:after="120" w:before="240"/>
      <w:ind/>
    </w:pPr>
    <w:rPr>
      <w:rFonts w:ascii="Arial" w:hAnsi="Arial" w:eastAsia="Droid Sans"/>
      <w:sz w:val="28"/>
      <w:szCs w:val="28"/>
    </w:rPr>
  </w:style>
  <w:style w:type="paragraph" w:styleId="783">
    <w:name w:val="Subtitle"/>
    <w:basedOn w:val="768"/>
    <w:link w:val="941"/>
    <w:uiPriority w:val="1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200"/>
      <w:ind/>
    </w:pPr>
    <w:rPr>
      <w:sz w:val="24"/>
      <w:szCs w:val="24"/>
    </w:rPr>
  </w:style>
  <w:style w:type="paragraph" w:styleId="784">
    <w:name w:val="Quote"/>
    <w:basedOn w:val="768"/>
    <w:link w:val="942"/>
    <w:uiPriority w:val="2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720" w:left="720"/>
    </w:pPr>
    <w:rPr>
      <w:i/>
    </w:rPr>
  </w:style>
  <w:style w:type="paragraph" w:styleId="785">
    <w:name w:val="List Paragraph"/>
    <w:basedOn w:val="76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20"/>
      </w:tabs>
      <w:spacing/>
      <w:ind w:right="5" w:firstLine="680" w:left="720"/>
      <w:contextualSpacing w:val="true"/>
      <w:jc w:val="both"/>
    </w:pPr>
    <w:rPr>
      <w:color w:val="000000"/>
      <w:sz w:val="28"/>
      <w:szCs w:val="28"/>
      <w:lang w:eastAsia="uk-UA"/>
    </w:rPr>
  </w:style>
  <w:style w:type="character" w:styleId="786">
    <w:name w:val="Intense Emphasis"/>
    <w:basedOn w:val="778"/>
    <w:uiPriority w:val="21"/>
    <w:qFormat/>
    <w:pPr>
      <w:pBdr/>
      <w:spacing/>
      <w:ind/>
    </w:pPr>
    <w:rPr>
      <w:i/>
      <w:iCs/>
      <w:color w:val="365f91"/>
    </w:rPr>
  </w:style>
  <w:style w:type="paragraph" w:styleId="787">
    <w:name w:val="Intense Quote"/>
    <w:basedOn w:val="768"/>
    <w:link w:val="943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spacing/>
      <w:ind w:right="720" w:left="720"/>
    </w:pPr>
    <w:rPr>
      <w:i/>
    </w:rPr>
  </w:style>
  <w:style w:type="character" w:styleId="788">
    <w:name w:val="Intense Reference"/>
    <w:basedOn w:val="778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89">
    <w:name w:val="No Spacing"/>
    <w:basedOn w:val="768"/>
    <w:link w:val="99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6"/>
      <w:jc w:val="both"/>
    </w:pPr>
    <w:rPr>
      <w:sz w:val="28"/>
      <w:szCs w:val="28"/>
      <w:shd w:val="clear" w:color="auto" w:fill="ffffff"/>
      <w:lang w:eastAsia="ru-RU"/>
    </w:rPr>
  </w:style>
  <w:style w:type="character" w:styleId="790">
    <w:name w:val="Subtle Emphasis"/>
    <w:basedOn w:val="778"/>
    <w:uiPriority w:val="19"/>
    <w:qFormat/>
    <w:pPr>
      <w:pBdr/>
      <w:spacing/>
      <w:ind/>
    </w:pPr>
    <w:rPr>
      <w:i/>
      <w:iCs/>
      <w:color w:val="404040"/>
    </w:rPr>
  </w:style>
  <w:style w:type="character" w:styleId="791">
    <w:name w:val="Emphasis"/>
    <w:basedOn w:val="778"/>
    <w:uiPriority w:val="20"/>
    <w:qFormat/>
    <w:pPr>
      <w:pBdr/>
      <w:spacing/>
      <w:ind/>
    </w:pPr>
    <w:rPr>
      <w:i/>
      <w:iCs/>
    </w:rPr>
  </w:style>
  <w:style w:type="character" w:styleId="792">
    <w:name w:val="Strong"/>
    <w:pPr>
      <w:pBdr/>
      <w:spacing/>
      <w:ind/>
    </w:pPr>
    <w:rPr>
      <w:b/>
    </w:rPr>
  </w:style>
  <w:style w:type="character" w:styleId="793">
    <w:name w:val="Subtle Reference"/>
    <w:basedOn w:val="778"/>
    <w:uiPriority w:val="31"/>
    <w:qFormat/>
    <w:pPr>
      <w:pBdr/>
      <w:spacing/>
      <w:ind/>
    </w:pPr>
    <w:rPr>
      <w:smallCaps/>
      <w:color w:val="5a5a5a"/>
    </w:rPr>
  </w:style>
  <w:style w:type="character" w:styleId="794">
    <w:name w:val="Book Title"/>
    <w:basedOn w:val="7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5">
    <w:name w:val="Header"/>
    <w:basedOn w:val="768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96">
    <w:name w:val="Footer"/>
    <w:basedOn w:val="768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97">
    <w:name w:val="Caption"/>
    <w:basedOn w:val="768"/>
    <w:next w:val="768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798">
    <w:name w:val="footnote text"/>
    <w:basedOn w:val="768"/>
    <w:link w:val="967"/>
    <w:uiPriority w:val="99"/>
    <w:semiHidden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  <w:ind/>
    </w:pPr>
    <w:rPr>
      <w:sz w:val="18"/>
    </w:rPr>
  </w:style>
  <w:style w:type="character" w:styleId="799">
    <w:name w:val="footnote reference"/>
    <w:pPr>
      <w:pBdr/>
      <w:spacing/>
      <w:ind/>
    </w:pPr>
    <w:rPr>
      <w:vertAlign w:val="superscript"/>
    </w:rPr>
  </w:style>
  <w:style w:type="paragraph" w:styleId="800">
    <w:name w:val="endnote text"/>
    <w:basedOn w:val="768"/>
    <w:link w:val="921"/>
    <w:uiPriority w:val="99"/>
    <w:semiHidden/>
    <w:unhideWhenUsed/>
    <w:pPr>
      <w:pBdr/>
      <w:spacing/>
      <w:ind/>
    </w:pPr>
  </w:style>
  <w:style w:type="character" w:styleId="801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802">
    <w:name w:val="Hyperlink"/>
    <w:pPr>
      <w:pBdr/>
      <w:spacing/>
      <w:ind/>
    </w:pPr>
    <w:rPr>
      <w:color w:val="000080"/>
      <w:u w:val="single"/>
      <w:lang w:val="en-US" w:eastAsia="en-US" w:bidi="en-US"/>
    </w:rPr>
  </w:style>
  <w:style w:type="character" w:styleId="803">
    <w:name w:val="FollowedHyperlink"/>
    <w:basedOn w:val="77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04">
    <w:name w:val="TOC Heading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</w:style>
  <w:style w:type="paragraph" w:styleId="805">
    <w:name w:val="table of figures"/>
    <w:basedOn w:val="768"/>
    <w:uiPriority w:val="99"/>
    <w:unhideWhenUsed/>
    <w:pPr>
      <w:pBdr/>
      <w:spacing/>
      <w:ind/>
    </w:pPr>
  </w:style>
  <w:style w:type="character" w:styleId="806" w:customStyle="1">
    <w:name w:val="Endnote Text Char"/>
    <w:basedOn w:val="778"/>
    <w:uiPriority w:val="99"/>
    <w:semiHidden/>
    <w:pPr>
      <w:pBdr/>
      <w:spacing/>
      <w:ind/>
    </w:pPr>
    <w:rPr>
      <w:sz w:val="20"/>
      <w:szCs w:val="20"/>
    </w:rPr>
  </w:style>
  <w:style w:type="paragraph" w:styleId="807" w:customStyle="1">
    <w:name w:val="Название1"/>
    <w:link w:val="940"/>
    <w:uiPriority w:val="1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00"/>
      <w:ind/>
      <w:contextualSpacing w:val="true"/>
    </w:pPr>
    <w:rPr>
      <w:sz w:val="48"/>
      <w:szCs w:val="48"/>
    </w:rPr>
  </w:style>
  <w:style w:type="character" w:styleId="808" w:customStyle="1">
    <w:name w:val="Название Знак1"/>
    <w:link w:val="782"/>
    <w:uiPriority w:val="10"/>
    <w:pPr>
      <w:pBdr/>
      <w:spacing/>
      <w:ind/>
    </w:pPr>
    <w:rPr>
      <w:sz w:val="48"/>
      <w:szCs w:val="48"/>
    </w:rPr>
  </w:style>
  <w:style w:type="character" w:styleId="809" w:customStyle="1">
    <w:name w:val="Subtitle Char"/>
    <w:uiPriority w:val="11"/>
    <w:pPr>
      <w:pBdr/>
      <w:spacing/>
      <w:ind/>
    </w:pPr>
    <w:rPr>
      <w:sz w:val="24"/>
      <w:szCs w:val="24"/>
    </w:rPr>
  </w:style>
  <w:style w:type="character" w:styleId="810" w:customStyle="1">
    <w:name w:val="Quote Char"/>
    <w:uiPriority w:val="29"/>
    <w:pPr>
      <w:pBdr/>
      <w:spacing/>
      <w:ind/>
    </w:pPr>
    <w:rPr>
      <w:i/>
    </w:rPr>
  </w:style>
  <w:style w:type="character" w:styleId="811" w:customStyle="1">
    <w:name w:val="Intense Quote Char"/>
    <w:uiPriority w:val="30"/>
    <w:pPr>
      <w:pBdr/>
      <w:spacing/>
      <w:ind/>
    </w:pPr>
    <w:rPr>
      <w:i/>
    </w:rPr>
  </w:style>
  <w:style w:type="paragraph" w:styleId="812" w:customStyle="1">
    <w:name w:val="Caption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3" w:customStyle="1">
    <w:name w:val="Caption Char"/>
    <w:uiPriority w:val="99"/>
    <w:pPr>
      <w:pBdr/>
      <w:spacing/>
      <w:ind/>
    </w:pPr>
  </w:style>
  <w:style w:type="table" w:styleId="814" w:customStyle="1">
    <w:name w:val="Table Grid Light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Plain Table 1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Plain Table 2"/>
    <w:uiPriority w:val="59"/>
    <w:pPr>
      <w:pBdr/>
      <w:spacing/>
      <w:ind/>
    </w:p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Plain Table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Plain Table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Plain Table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1 Light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4 - Accent 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4 - Accent 2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4 - Accent 3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4 - Accent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4 - Accent 5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4 - Accent 6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5 Dark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5 Dark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1 Light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4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4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4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4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4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4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5 Dark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5 Dark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Bordered &amp; 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0" w:customStyle="1">
    <w:name w:val="Footnote Text Char"/>
    <w:uiPriority w:val="99"/>
    <w:pPr>
      <w:pBdr/>
      <w:spacing/>
      <w:ind/>
    </w:pPr>
    <w:rPr>
      <w:sz w:val="18"/>
    </w:rPr>
  </w:style>
  <w:style w:type="character" w:styleId="921" w:customStyle="1">
    <w:name w:val="Текст концевой сноски Знак"/>
    <w:link w:val="800"/>
    <w:uiPriority w:val="99"/>
    <w:semiHidden/>
    <w:pPr>
      <w:pBdr/>
      <w:spacing/>
      <w:ind/>
    </w:pPr>
    <w:rPr>
      <w:lang w:val="ru-RU" w:eastAsia="zh-CN" w:bidi="ar-SA"/>
    </w:rPr>
  </w:style>
  <w:style w:type="paragraph" w:styleId="922">
    <w:name w:val="toc 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/>
    </w:pPr>
    <w:rPr>
      <w:sz w:val="22"/>
      <w:szCs w:val="22"/>
      <w:lang w:val="uk-UA" w:eastAsia="en-US" w:bidi="en-US"/>
    </w:rPr>
  </w:style>
  <w:style w:type="paragraph" w:styleId="923">
    <w:name w:val="toc 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val="uk-UA" w:eastAsia="en-US" w:bidi="en-US"/>
    </w:rPr>
  </w:style>
  <w:style w:type="paragraph" w:styleId="924">
    <w:name w:val="toc 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val="uk-UA" w:eastAsia="en-US" w:bidi="en-US"/>
    </w:rPr>
  </w:style>
  <w:style w:type="paragraph" w:styleId="925">
    <w:name w:val="toc 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val="uk-UA" w:eastAsia="en-US" w:bidi="en-US"/>
    </w:rPr>
  </w:style>
  <w:style w:type="paragraph" w:styleId="926">
    <w:name w:val="toc 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val="uk-UA" w:eastAsia="en-US" w:bidi="en-US"/>
    </w:rPr>
  </w:style>
  <w:style w:type="paragraph" w:styleId="927">
    <w:name w:val="toc 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val="uk-UA" w:eastAsia="en-US" w:bidi="en-US"/>
    </w:rPr>
  </w:style>
  <w:style w:type="paragraph" w:styleId="928">
    <w:name w:val="toc 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val="uk-UA" w:eastAsia="en-US" w:bidi="en-US"/>
    </w:rPr>
  </w:style>
  <w:style w:type="paragraph" w:styleId="929">
    <w:name w:val="toc 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val="uk-UA" w:eastAsia="en-US" w:bidi="en-US"/>
    </w:rPr>
  </w:style>
  <w:style w:type="paragraph" w:styleId="930">
    <w:name w:val="toc 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val="uk-UA" w:eastAsia="en-US" w:bidi="en-US"/>
    </w:rPr>
  </w:style>
  <w:style w:type="character" w:styleId="931" w:customStyle="1">
    <w:name w:val="Заголовок 1 Знак"/>
    <w:link w:val="76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932" w:customStyle="1">
    <w:name w:val="Заголовок 2 Знак"/>
    <w:link w:val="770"/>
    <w:pPr>
      <w:pBdr/>
      <w:spacing/>
      <w:ind/>
    </w:pPr>
    <w:rPr>
      <w:rFonts w:ascii="Arial" w:hAnsi="Arial" w:eastAsia="Arial"/>
      <w:sz w:val="34"/>
      <w:szCs w:val="22"/>
      <w:lang w:bidi="ar-SA"/>
    </w:rPr>
  </w:style>
  <w:style w:type="character" w:styleId="933" w:customStyle="1">
    <w:name w:val="Заголовок 3 Знак"/>
    <w:link w:val="771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934" w:customStyle="1">
    <w:name w:val="Заголовок 4 Знак"/>
    <w:link w:val="772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935" w:customStyle="1">
    <w:name w:val="Заголовок 5 Знак"/>
    <w:link w:val="773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936" w:customStyle="1">
    <w:name w:val="Заголовок 6 Знак"/>
    <w:link w:val="774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937" w:customStyle="1">
    <w:name w:val="Заголовок 7 Знак1"/>
    <w:link w:val="775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38" w:customStyle="1">
    <w:name w:val="Заголовок 8 Знак"/>
    <w:link w:val="776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939" w:customStyle="1">
    <w:name w:val="Заголовок 9 Знак"/>
    <w:link w:val="777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940" w:customStyle="1">
    <w:name w:val="Название Знак"/>
    <w:link w:val="807"/>
    <w:uiPriority w:val="10"/>
    <w:pPr>
      <w:pBdr/>
      <w:spacing/>
      <w:ind/>
    </w:pPr>
    <w:rPr>
      <w:sz w:val="48"/>
      <w:szCs w:val="48"/>
      <w:lang w:bidi="ar-SA"/>
    </w:rPr>
  </w:style>
  <w:style w:type="character" w:styleId="941" w:customStyle="1">
    <w:name w:val="Подзаголовок Знак"/>
    <w:link w:val="783"/>
    <w:uiPriority w:val="11"/>
    <w:pPr>
      <w:pBdr/>
      <w:spacing/>
      <w:ind/>
    </w:pPr>
    <w:rPr>
      <w:sz w:val="24"/>
      <w:szCs w:val="24"/>
      <w:lang w:bidi="ar-SA"/>
    </w:rPr>
  </w:style>
  <w:style w:type="character" w:styleId="942" w:customStyle="1">
    <w:name w:val="Цитата 2 Знак"/>
    <w:link w:val="784"/>
    <w:uiPriority w:val="29"/>
    <w:pPr>
      <w:pBdr/>
      <w:spacing/>
      <w:ind/>
    </w:pPr>
    <w:rPr>
      <w:i/>
      <w:lang w:val="ru-RU" w:eastAsia="zh-CN" w:bidi="ar-SA"/>
    </w:rPr>
  </w:style>
  <w:style w:type="character" w:styleId="943" w:customStyle="1">
    <w:name w:val="Выделенная цитата Знак"/>
    <w:link w:val="787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character" w:styleId="944" w:customStyle="1">
    <w:name w:val="Header Char"/>
    <w:pPr>
      <w:pBdr/>
      <w:spacing/>
      <w:ind/>
    </w:pPr>
    <w:rPr>
      <w:sz w:val="22"/>
      <w:szCs w:val="22"/>
      <w:lang w:val="uk-UA" w:eastAsia="en-US" w:bidi="en-US"/>
    </w:rPr>
  </w:style>
  <w:style w:type="character" w:styleId="945" w:customStyle="1">
    <w:name w:val="Footer Char"/>
    <w:pPr>
      <w:pBdr/>
      <w:spacing/>
      <w:ind/>
    </w:pPr>
    <w:rPr>
      <w:sz w:val="22"/>
      <w:szCs w:val="22"/>
      <w:lang w:val="uk-UA" w:eastAsia="en-US" w:bidi="en-US"/>
    </w:rPr>
  </w:style>
  <w:style w:type="table" w:styleId="946" w:customStyle="1">
    <w:name w:val="Line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 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- Accent 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- Accent 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- Accent 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- Accent 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- Accent 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- Accent 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 &amp; Lined - Accent 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&amp; Lined - Accent 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 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5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7" w:customStyle="1">
    <w:name w:val="Текст сноски Знак"/>
    <w:link w:val="798"/>
    <w:uiPriority w:val="99"/>
    <w:semiHidden/>
    <w:pPr>
      <w:pBdr/>
      <w:spacing/>
      <w:ind/>
    </w:pPr>
    <w:rPr>
      <w:sz w:val="18"/>
      <w:lang w:bidi="ar-SA"/>
    </w:rPr>
  </w:style>
  <w:style w:type="character" w:styleId="968" w:customStyle="1">
    <w:name w:val="WW8Num3z0"/>
    <w:pPr>
      <w:pBdr/>
      <w:spacing/>
      <w:ind/>
    </w:pPr>
    <w:rPr>
      <w:rFonts w:ascii="OpenSymbol" w:hAnsi="OpenSymbol"/>
    </w:rPr>
  </w:style>
  <w:style w:type="character" w:styleId="969" w:customStyle="1">
    <w:name w:val="Основной шрифт абзаца2"/>
    <w:pPr>
      <w:pBdr/>
      <w:spacing/>
      <w:ind/>
    </w:pPr>
  </w:style>
  <w:style w:type="character" w:styleId="970" w:customStyle="1">
    <w:name w:val="Основной шрифт абзаца1"/>
    <w:pPr>
      <w:pBdr/>
      <w:spacing/>
      <w:ind/>
    </w:pPr>
  </w:style>
  <w:style w:type="character" w:styleId="971" w:customStyle="1">
    <w:name w:val="Absatz-Standardschriftart"/>
    <w:pPr>
      <w:pBdr/>
      <w:spacing/>
      <w:ind/>
    </w:pPr>
  </w:style>
  <w:style w:type="character" w:styleId="972" w:customStyle="1">
    <w:name w:val="Символ нумерации"/>
    <w:pPr>
      <w:pBdr/>
      <w:spacing/>
      <w:ind/>
    </w:pPr>
  </w:style>
  <w:style w:type="paragraph" w:styleId="973">
    <w:name w:val="Body Text"/>
    <w:basedOn w:val="768"/>
    <w:pPr>
      <w:pBdr/>
      <w:spacing w:after="120"/>
      <w:ind/>
    </w:pPr>
  </w:style>
  <w:style w:type="paragraph" w:styleId="974">
    <w:name w:val="List"/>
    <w:basedOn w:val="973"/>
    <w:pPr>
      <w:pBdr/>
      <w:spacing/>
      <w:ind/>
    </w:pPr>
  </w:style>
  <w:style w:type="paragraph" w:styleId="975" w:customStyle="1">
    <w:name w:val="Название3"/>
    <w:basedOn w:val="768"/>
    <w:pPr>
      <w:pBdr/>
      <w:spacing w:after="120" w:before="120"/>
      <w:ind/>
    </w:pPr>
    <w:rPr>
      <w:i/>
      <w:iCs/>
      <w:sz w:val="24"/>
      <w:szCs w:val="24"/>
    </w:rPr>
  </w:style>
  <w:style w:type="paragraph" w:styleId="976" w:customStyle="1">
    <w:name w:val="Указатель3"/>
    <w:basedOn w:val="768"/>
    <w:pPr>
      <w:pBdr/>
      <w:spacing/>
      <w:ind/>
    </w:pPr>
  </w:style>
  <w:style w:type="paragraph" w:styleId="977" w:customStyle="1">
    <w:name w:val="Название2"/>
    <w:basedOn w:val="768"/>
    <w:pPr>
      <w:pBdr/>
      <w:spacing w:after="120" w:before="120"/>
      <w:ind/>
    </w:pPr>
    <w:rPr>
      <w:i/>
      <w:iCs/>
      <w:sz w:val="24"/>
      <w:szCs w:val="24"/>
    </w:rPr>
  </w:style>
  <w:style w:type="paragraph" w:styleId="978" w:customStyle="1">
    <w:name w:val="Указатель2"/>
    <w:basedOn w:val="768"/>
    <w:pPr>
      <w:pBdr/>
      <w:spacing/>
      <w:ind/>
    </w:pPr>
  </w:style>
  <w:style w:type="paragraph" w:styleId="979" w:customStyle="1">
    <w:name w:val="Название объекта1"/>
    <w:basedOn w:val="768"/>
    <w:pPr>
      <w:pBdr/>
      <w:spacing w:after="120" w:before="120"/>
      <w:ind/>
    </w:pPr>
    <w:rPr>
      <w:i/>
      <w:iCs/>
      <w:sz w:val="24"/>
      <w:szCs w:val="24"/>
    </w:rPr>
  </w:style>
  <w:style w:type="paragraph" w:styleId="980" w:customStyle="1">
    <w:name w:val="Покажчик"/>
    <w:basedOn w:val="768"/>
    <w:pPr>
      <w:pBdr/>
      <w:spacing/>
      <w:ind/>
    </w:pPr>
  </w:style>
  <w:style w:type="paragraph" w:styleId="981" w:customStyle="1">
    <w:name w:val="Название1"/>
    <w:basedOn w:val="768"/>
    <w:pPr>
      <w:pBdr/>
      <w:spacing w:after="120" w:before="120"/>
      <w:ind/>
    </w:pPr>
    <w:rPr>
      <w:i/>
      <w:iCs/>
      <w:sz w:val="24"/>
      <w:szCs w:val="24"/>
    </w:rPr>
  </w:style>
  <w:style w:type="paragraph" w:styleId="982" w:customStyle="1">
    <w:name w:val="Указатель1"/>
    <w:basedOn w:val="768"/>
    <w:pPr>
      <w:pBdr/>
      <w:spacing/>
      <w:ind/>
    </w:pPr>
  </w:style>
  <w:style w:type="paragraph" w:styleId="983" w:customStyle="1">
    <w:name w:val="„O„ƒ„~„€„r„~„€„z „„„u„[„ƒ„„"/>
    <w:basedOn w:val="768"/>
    <w:pPr>
      <w:pBdr/>
      <w:spacing w:after="120"/>
      <w:ind/>
    </w:pPr>
  </w:style>
  <w:style w:type="paragraph" w:styleId="984" w:customStyle="1">
    <w:name w:val="„R„„y„ƒ„€„["/>
    <w:basedOn w:val="983"/>
    <w:pPr>
      <w:pBdr/>
      <w:spacing/>
      <w:ind/>
    </w:pPr>
  </w:style>
  <w:style w:type="paragraph" w:styleId="985" w:customStyle="1">
    <w:name w:val="„N„p„x„r„p„~„y„u"/>
    <w:basedOn w:val="768"/>
    <w:pPr>
      <w:pBdr/>
      <w:spacing w:after="120" w:before="120"/>
      <w:ind/>
    </w:pPr>
    <w:rPr>
      <w:i/>
      <w:iCs/>
      <w:sz w:val="24"/>
      <w:szCs w:val="24"/>
    </w:rPr>
  </w:style>
  <w:style w:type="paragraph" w:styleId="986" w:customStyle="1">
    <w:name w:val="„T„[„p„x„p„„„u„|„Ž"/>
    <w:basedOn w:val="768"/>
    <w:pPr>
      <w:pBdr/>
      <w:spacing/>
      <w:ind/>
    </w:pPr>
  </w:style>
  <w:style w:type="paragraph" w:styleId="987" w:customStyle="1">
    <w:name w:val="„R„€„t„u„‚„w„y„]„€„u „„„p„q„|„y„ˆ„"/>
    <w:basedOn w:val="768"/>
    <w:pPr>
      <w:pBdr/>
      <w:spacing/>
      <w:ind/>
    </w:pPr>
  </w:style>
  <w:style w:type="paragraph" w:styleId="988" w:customStyle="1">
    <w:name w:val="„H„p„s„€„|„€„r„€„[ „„„p„q„|„y„ˆ„"/>
    <w:basedOn w:val="987"/>
    <w:pPr>
      <w:pBdr/>
      <w:spacing/>
      <w:ind/>
      <w:jc w:val="center"/>
    </w:pPr>
    <w:rPr>
      <w:b/>
      <w:bCs/>
    </w:rPr>
  </w:style>
  <w:style w:type="paragraph" w:styleId="989" w:customStyle="1">
    <w:name w:val="Вміст таблиці"/>
    <w:basedOn w:val="768"/>
    <w:pPr>
      <w:pBdr/>
      <w:spacing/>
      <w:ind/>
    </w:pPr>
  </w:style>
  <w:style w:type="paragraph" w:styleId="990" w:customStyle="1">
    <w:name w:val="Заголовок таблиці"/>
    <w:basedOn w:val="989"/>
    <w:pPr>
      <w:pBdr/>
      <w:spacing/>
      <w:ind/>
      <w:jc w:val="center"/>
    </w:pPr>
    <w:rPr>
      <w:b/>
      <w:bCs/>
    </w:rPr>
  </w:style>
  <w:style w:type="paragraph" w:styleId="991" w:customStyle="1">
    <w:name w:val="Содержимое таблицы"/>
    <w:basedOn w:val="768"/>
    <w:pPr>
      <w:pBdr/>
      <w:spacing/>
      <w:ind/>
    </w:pPr>
  </w:style>
  <w:style w:type="paragraph" w:styleId="992" w:customStyle="1">
    <w:name w:val="Заголовок таблицы"/>
    <w:basedOn w:val="991"/>
    <w:pPr>
      <w:pBdr/>
      <w:spacing/>
      <w:ind/>
      <w:jc w:val="center"/>
    </w:pPr>
    <w:rPr>
      <w:b/>
      <w:bCs/>
    </w:rPr>
  </w:style>
  <w:style w:type="character" w:styleId="993" w:customStyle="1">
    <w:name w:val="Заголовок 7 Знак"/>
    <w:pPr>
      <w:pBdr/>
      <w:spacing/>
      <w:ind/>
    </w:pPr>
    <w:rPr>
      <w:rFonts w:ascii="Calibri" w:hAnsi="Calibri" w:eastAsia="Times New Roman"/>
      <w:sz w:val="24"/>
      <w:szCs w:val="21"/>
      <w:lang w:val="ru-RU" w:eastAsia="hi-IN" w:bidi="hi-IN"/>
    </w:rPr>
  </w:style>
  <w:style w:type="character" w:styleId="994" w:customStyle="1">
    <w:name w:val="Без интервала Знак"/>
    <w:link w:val="789"/>
    <w:pPr>
      <w:pBdr/>
      <w:spacing/>
      <w:ind/>
    </w:pPr>
    <w:rPr>
      <w:sz w:val="28"/>
      <w:szCs w:val="28"/>
      <w:lang w:eastAsia="ru-RU" w:bidi="ar-SA"/>
    </w:rPr>
  </w:style>
  <w:style w:type="table" w:styleId="995" w:customStyle="1">
    <w:name w:val="Сетка таблицы1"/>
    <w:basedOn w:val="779"/>
    <w:next w:val="781"/>
    <w:pPr>
      <w:pBdr/>
      <w:spacing/>
      <w:ind/>
    </w:pPr>
    <w:rPr>
      <w:rFonts w:ascii="Calibri" w:hAnsi="Calibri"/>
      <w:sz w:val="22"/>
      <w:szCs w:val="22"/>
    </w:r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6">
    <w:name w:val="Balloon Text"/>
    <w:basedOn w:val="768"/>
    <w:link w:val="997"/>
    <w:semiHidden/>
    <w:pPr>
      <w:pBdr/>
      <w:spacing/>
      <w:ind/>
    </w:pPr>
    <w:rPr>
      <w:rFonts w:ascii="Segoe UI" w:hAnsi="Segoe UI" w:eastAsia="Droid Sans"/>
      <w:sz w:val="18"/>
      <w:szCs w:val="16"/>
      <w:lang w:eastAsia="hi-IN" w:bidi="hi-IN"/>
    </w:rPr>
  </w:style>
  <w:style w:type="character" w:styleId="997" w:customStyle="1">
    <w:name w:val="Текст выноски Знак"/>
    <w:link w:val="996"/>
    <w:semiHidden/>
    <w:pPr>
      <w:pBdr/>
      <w:spacing/>
      <w:ind/>
    </w:pPr>
    <w:rPr>
      <w:rFonts w:ascii="Segoe UI" w:hAnsi="Segoe UI" w:eastAsia="Droid Sans"/>
      <w:sz w:val="18"/>
      <w:szCs w:val="16"/>
      <w:lang w:val="ru-RU" w:eastAsia="hi-IN" w:bidi="hi-IN"/>
    </w:rPr>
  </w:style>
  <w:style w:type="paragraph" w:styleId="998" w:customStyle="1">
    <w:name w:val="Обычный1"/>
    <w:pPr>
      <w:pBdr/>
      <w:spacing/>
      <w:ind/>
    </w:pPr>
  </w:style>
  <w:style w:type="paragraph" w:styleId="999">
    <w:name w:val="Body Text Indent"/>
    <w:basedOn w:val="768"/>
    <w:link w:val="1000"/>
    <w:semiHidden/>
    <w:pPr>
      <w:pBdr/>
      <w:spacing w:after="120"/>
      <w:ind w:left="283"/>
    </w:pPr>
  </w:style>
  <w:style w:type="character" w:styleId="1000" w:customStyle="1">
    <w:name w:val="Основной текст с отступом Знак"/>
    <w:basedOn w:val="778"/>
    <w:link w:val="999"/>
    <w:semiHidden/>
    <w:pPr>
      <w:pBdr/>
      <w:spacing/>
      <w:ind/>
    </w:pPr>
    <w:rPr>
      <w:sz w:val="22"/>
      <w:szCs w:val="22"/>
      <w:lang w:val="uk-UA" w:eastAsia="en-US" w:bidi="en-US"/>
    </w:rPr>
  </w:style>
  <w:style w:type="character" w:styleId="1001" w:customStyle="1">
    <w:name w:val="rvts23"/>
    <w:basedOn w:val="778"/>
    <w:pPr>
      <w:pBdr/>
      <w:spacing/>
      <w:ind/>
    </w:pPr>
  </w:style>
  <w:style w:type="paragraph" w:styleId="1002" w:customStyle="1">
    <w:name w:val="Header1"/>
    <w:basedOn w:val="768"/>
    <w:link w:val="1003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03" w:customStyle="1">
    <w:name w:val="Верхний колонтитул Знак"/>
    <w:basedOn w:val="778"/>
    <w:link w:val="1002"/>
    <w:pPr>
      <w:pBdr/>
      <w:spacing/>
      <w:ind/>
    </w:pPr>
    <w:rPr>
      <w:sz w:val="22"/>
      <w:szCs w:val="22"/>
      <w:lang w:val="uk-UA" w:eastAsia="en-US" w:bidi="en-US"/>
    </w:rPr>
  </w:style>
  <w:style w:type="paragraph" w:styleId="1004" w:customStyle="1">
    <w:name w:val="Footer1"/>
    <w:basedOn w:val="768"/>
    <w:link w:val="1005"/>
    <w:semiHidden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05" w:customStyle="1">
    <w:name w:val="Нижний колонтитул Знак"/>
    <w:basedOn w:val="778"/>
    <w:link w:val="1004"/>
    <w:semiHidden/>
    <w:pPr>
      <w:pBdr/>
      <w:spacing/>
      <w:ind/>
    </w:pPr>
    <w:rPr>
      <w:sz w:val="22"/>
      <w:szCs w:val="22"/>
      <w:lang w:val="uk-UA" w:eastAsia="en-US" w:bidi="en-US"/>
    </w:rPr>
  </w:style>
  <w:style w:type="character" w:styleId="1006" w:customStyle="1">
    <w:name w:val="Основной текст (3)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paragraph" w:styleId="1007">
    <w:name w:val="Normal (Web)"/>
    <w:basedOn w:val="768"/>
    <w:uiPriority w:val="99"/>
    <w:semiHidden/>
    <w:unhideWhenUsed/>
    <w:pPr>
      <w:pBdr/>
      <w:spacing w:after="100" w:afterAutospacing="1" w:before="100" w:beforeAutospacing="1"/>
      <w:ind/>
    </w:pPr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23</cp:revision>
  <dcterms:created xsi:type="dcterms:W3CDTF">2024-11-05T09:25:00Z</dcterms:created>
  <dcterms:modified xsi:type="dcterms:W3CDTF">2024-12-19T12:25:52Z</dcterms:modified>
  <cp:version>786432</cp:version>
</cp:coreProperties>
</file>