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шоста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>
        <w:rPr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 грудня 2024 року</w:t>
        <w:tab/>
        <w:t xml:space="preserve">м. Мена</w:t>
        <w:tab/>
        <w:t xml:space="preserve">№ 688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spacing/>
        <w:ind/>
        <w:rPr>
          <w:b/>
          <w:bCs/>
          <w14:ligatures w14:val="none"/>
        </w:rPr>
      </w:pPr>
      <w:r>
        <w:rPr>
          <w:b/>
          <w:bCs/>
          <w:highlight w:val="none"/>
        </w:rPr>
      </w:r>
      <w:r>
        <w:rPr>
          <w:b/>
          <w:bCs/>
          <w14:ligatures w14:val="none"/>
        </w:rPr>
      </w:r>
      <w:r>
        <w:rPr>
          <w:b/>
          <w:bCs/>
          <w14:ligatures w14:val="none"/>
        </w:rPr>
      </w:r>
    </w:p>
    <w:p>
      <w:pPr>
        <w:pBdr/>
        <w:spacing/>
        <w:ind w:firstLine="0"/>
        <w:rPr>
          <w:b/>
          <w:bCs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spacing w:val="19"/>
          <w:sz w:val="28"/>
        </w:rPr>
        <w:t xml:space="preserve">П</w:t>
      </w:r>
      <w:r>
        <w:rPr>
          <w:b/>
          <w:bCs/>
        </w:rPr>
        <w:t xml:space="preserve">ро затвердження технічної </w:t>
      </w:r>
      <w:r>
        <w:rPr>
          <w:b/>
          <w:bCs/>
        </w:rPr>
        <w:t xml:space="preserve">документації із землеустрою </w:t>
      </w:r>
      <w:r>
        <w:rPr>
          <w:b/>
          <w:bCs/>
        </w:rPr>
        <w:t xml:space="preserve">щодо інвентаризації земель </w:t>
      </w:r>
      <w:r>
        <w:rPr>
          <w:b/>
          <w:bCs/>
        </w:rPr>
        <w:t xml:space="preserve">комунальної власності</w:t>
      </w:r>
      <w:r>
        <w:rPr>
          <w:b/>
          <w:bCs/>
          <w:highlight w:val="none"/>
          <w14:ligatures w14:val="none"/>
        </w:rPr>
      </w:r>
      <w:r>
        <w:rPr>
          <w:b/>
          <w:bCs/>
          <w:highlight w:val="none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75" w:line="321" w:lineRule="atLeast"/>
        <w:ind w:right="0" w:firstLine="567" w:left="0"/>
        <w:rPr>
          <w14:ligatures w14:val="none"/>
        </w:rPr>
      </w:pPr>
      <w:r>
        <w:t xml:space="preserve">Розглянувши технічну документацію щодо інвентаризації земель комунальної власності</w:t>
      </w:r>
      <w:r>
        <w:t xml:space="preserve"> площею 9,3778 га</w:t>
      </w:r>
      <w:r>
        <w:t xml:space="preserve"> </w:t>
      </w:r>
      <w: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</w:t>
      </w:r>
      <w:r>
        <w:t xml:space="preserve">(КВЦПЗ – 11.02)</w:t>
      </w:r>
      <w:r>
        <w:t xml:space="preserve">, що розташована за адресою:вулиця Віталія Горбача,22, м. Мена, Корюківський район, Чернігівська область</w:t>
      </w:r>
      <w:r>
        <w:t xml:space="preserve">, керуючись ст. 12,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  <w:u w:val="none"/>
        </w:rPr>
        <w:t xml:space="preserve">79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  <w:vertAlign w:val="superscript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  <w:u w:val="none"/>
          <w:vertAlign w:val="superscript"/>
        </w:rPr>
        <w:t xml:space="preserve">1</w:t>
      </w:r>
      <w:r>
        <w:t xml:space="preserve">, 83,126 Земельного </w:t>
      </w:r>
      <w:r>
        <w:t xml:space="preserve">кодексу України, ст. 26 Закону України «Про місцеве самоврядування в </w:t>
      </w:r>
      <w:r>
        <w:t xml:space="preserve">Україні», Закону України «Про оренду землі», Менська міська рада</w:t>
      </w:r>
      <w:r>
        <w:rPr>
          <w14:ligatures w14:val="none"/>
        </w:rPr>
      </w:r>
      <w:r>
        <w:rPr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21" w:lineRule="atLeast"/>
        <w:ind w:right="5953" w:firstLine="0" w:left="0"/>
        <w:rPr>
          <w14:ligatures w14:val="none"/>
        </w:rPr>
      </w:pPr>
      <w:r>
        <w:t xml:space="preserve">ВИРІШИЛА: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745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 w:beforeAutospacing="0" w:line="240" w:lineRule="auto"/>
        <w:ind w:right="0" w:firstLine="567" w:left="0"/>
        <w:rPr>
          <w14:ligatures w14:val="none"/>
        </w:rPr>
      </w:pPr>
      <w:r>
        <w:t xml:space="preserve">Затвердити технічну документації щодо інвентаризації земельної діля</w:t>
      </w:r>
      <w:r>
        <w:t xml:space="preserve">нки</w:t>
      </w:r>
      <w:r>
        <w:t xml:space="preserve"> пло</w:t>
      </w:r>
      <w:r>
        <w:t xml:space="preserve">щею 9,3778 га, кадастровий № </w:t>
      </w:r>
      <w:r>
        <w:t xml:space="preserve">7423010100:01:002:1224</w:t>
      </w:r>
      <w:r>
        <w:t xml:space="preserve"> </w:t>
      </w:r>
      <w:r>
        <w:t xml:space="preserve">для розміщення та </w:t>
      </w:r>
      <w:r>
        <w:t xml:space="preserve">експлуатації </w:t>
      </w:r>
      <w:r>
        <w:t xml:space="preserve">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</w:t>
      </w:r>
      <w:r>
        <w:t xml:space="preserve">(КВЦПЗ – 11.02)</w:t>
      </w:r>
      <w:r>
        <w:t xml:space="preserve">, що розташована за адресою:вулиця Віталія Горбача,22, м. Мена, Корюківський район, Чернігівська область.</w:t>
      </w:r>
      <w:r/>
      <w:r/>
    </w:p>
    <w:p>
      <w:pPr>
        <w:pStyle w:val="745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 w:beforeAutospacing="0" w:line="240" w:lineRule="auto"/>
        <w:ind w:right="0" w:firstLine="567" w:left="0"/>
        <w:rPr>
          <w14:ligatures w14:val="none"/>
        </w:rPr>
      </w:pPr>
      <w:r>
        <w:t xml:space="preserve">Менській міській раді зареєструвати право комунальної власності на земельну ділянку зазначену в пункті 1 цього рішення згідно вимог чинного законодавства.</w:t>
      </w:r>
      <w:r/>
      <w:r/>
    </w:p>
    <w:p>
      <w:pPr>
        <w:pStyle w:val="745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 w:beforeAutospacing="0" w:line="240" w:lineRule="auto"/>
        <w:ind w:right="0" w:firstLine="567" w:left="0"/>
        <w:rPr>
          <w14:ligatures w14:val="none"/>
        </w:rPr>
      </w:pPr>
      <w:r>
        <w:t xml:space="preserve">Контр</w:t>
      </w:r>
      <w: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 за виконанням рішення покласти на заступника міського голови з питань діяльності виконавчих органів ради відповідно до розподілу </w:t>
      </w:r>
      <w:r>
        <w:t xml:space="preserve">функціональних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обов’язків та на постійну комісію з питань містобудування, будівництва, земельних відносин та охорони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рироди.</w:t>
      </w:r>
      <w:r>
        <w:rPr>
          <w14:ligatures w14:val="none"/>
        </w:rPr>
      </w:r>
      <w:r>
        <w:rPr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 w:after="0" w:before="119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 w:after="0" w:before="119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418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9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56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3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0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7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85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2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94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Heading 1"/>
    <w:basedOn w:val="905"/>
    <w:next w:val="905"/>
    <w:link w:val="72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8">
    <w:name w:val="Heading 1 Char"/>
    <w:link w:val="72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0">
    <w:name w:val="Heading 2 Char"/>
    <w:link w:val="72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2">
    <w:name w:val="Heading 3 Char"/>
    <w:link w:val="73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6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6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6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6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basedOn w:val="90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7">
    <w:name w:val="Title"/>
    <w:basedOn w:val="905"/>
    <w:next w:val="905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5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6"/>
    <w:link w:val="755"/>
    <w:uiPriority w:val="99"/>
    <w:pPr>
      <w:pBdr/>
      <w:spacing/>
      <w:ind/>
    </w:pPr>
  </w:style>
  <w:style w:type="paragraph" w:styleId="757">
    <w:name w:val="Footer"/>
    <w:basedOn w:val="90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6"/>
    <w:link w:val="757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2024-12-12T15:24:16Z</dcterms:modified>
</cp:coreProperties>
</file>