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666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97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організації і встановлення меж територій природно-заповідного фонду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проекти землеустрою щодо організації і встановлення меж територій природно-заповідного фонду керуючись статтями 12, 43 Земельного кодексу України, статтями 3, 7, 12, 27, 28 Закону України «Про природно-заповідний фонд України», ст. 25 Закону Ук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раїни «Про землеустрій», та ст. 26 Закону України «Про місцеве самоврядування в Україні»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проєкти землеустрою щодо організації і встановлення меж територій природно-заповідного фонду: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Проєкт землеустрою щодо організації і встановлення меж територій природно-заповідного фонду - ботанічна пам’ятка природи місцевого значення «Віковий дуб» площею 0,010 га в м. Мена Чернігівської області: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Проєкт землеустрою щодо організації і встановлення меж територій природно-заповідного фонду - ботанічна пам’ятка природи місцевого значення «Багатовіковий дуб» площею 0,010 га в с. Величківка Чернігівської області.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993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 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2024-12-12T16:53:57Z</dcterms:modified>
</cp:coreProperties>
</file>