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8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528"/>
        <w:jc w:val="both"/>
        <w:rPr>
          <w:rFonts w:ascii="Times New Roman" w:hAnsi="Times New Roman" w:eastAsia="Times New Roman"/>
          <w:color w:val="000000"/>
          <w:sz w:val="24"/>
          <w:szCs w:val="18"/>
        </w:rPr>
      </w:pPr>
      <w:r>
        <w:rPr>
          <w:rFonts w:ascii="Times New Roman" w:hAnsi="Times New Roman" w:eastAsia="Times New Roman"/>
          <w:color w:val="000000"/>
          <w:sz w:val="24"/>
          <w:szCs w:val="18"/>
        </w:rPr>
        <w:t xml:space="preserve">Додаток </w:t>
      </w:r>
      <w:r>
        <w:rPr>
          <w:rFonts w:ascii="Times New Roman" w:hAnsi="Times New Roman" w:eastAsia="Times New Roman"/>
          <w:color w:val="000000"/>
          <w:sz w:val="24"/>
          <w:szCs w:val="18"/>
        </w:rPr>
      </w:r>
      <w:r>
        <w:rPr>
          <w:rFonts w:ascii="Times New Roman" w:hAnsi="Times New Roman" w:eastAsia="Times New Roman"/>
          <w:color w:val="000000"/>
          <w:sz w:val="24"/>
          <w:szCs w:val="18"/>
        </w:rPr>
      </w:r>
    </w:p>
    <w:p>
      <w:pPr>
        <w:pStyle w:val="68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528"/>
        <w:jc w:val="both"/>
        <w:rPr>
          <w:rFonts w:ascii="Times New Roman" w:hAnsi="Times New Roman" w:eastAsia="Times New Roman"/>
          <w:color w:val="000000"/>
          <w:sz w:val="24"/>
          <w:szCs w:val="18"/>
        </w:rPr>
      </w:pPr>
      <w:r>
        <w:rPr>
          <w:rFonts w:ascii="Times New Roman" w:hAnsi="Times New Roman" w:eastAsia="Times New Roman"/>
          <w:color w:val="000000"/>
          <w:sz w:val="24"/>
          <w:szCs w:val="18"/>
        </w:rPr>
        <w:t xml:space="preserve">до рішення </w:t>
      </w:r>
      <w:r>
        <w:rPr>
          <w:rFonts w:ascii="Times New Roman" w:hAnsi="Times New Roman" w:eastAsia="Times New Roman"/>
          <w:color w:val="000000"/>
          <w:sz w:val="24"/>
          <w:szCs w:val="18"/>
          <w:lang w:val="ru-RU"/>
        </w:rPr>
        <w:t xml:space="preserve">56</w:t>
      </w:r>
      <w:r>
        <w:rPr>
          <w:rFonts w:ascii="Times New Roman" w:hAnsi="Times New Roman" w:eastAsia="Times New Roman"/>
          <w:color w:val="000000"/>
          <w:sz w:val="24"/>
          <w:szCs w:val="18"/>
        </w:rPr>
        <w:t xml:space="preserve"> сесії Менської міської ради 8 скликання</w:t>
      </w:r>
      <w:r>
        <w:rPr>
          <w:rFonts w:ascii="Times New Roman" w:hAnsi="Times New Roman" w:eastAsia="Times New Roman"/>
          <w:color w:val="000000"/>
          <w:sz w:val="24"/>
          <w:szCs w:val="18"/>
        </w:rPr>
      </w:r>
      <w:r>
        <w:rPr>
          <w:rFonts w:ascii="Times New Roman" w:hAnsi="Times New Roman" w:eastAsia="Times New Roman"/>
          <w:color w:val="000000"/>
          <w:sz w:val="24"/>
          <w:szCs w:val="18"/>
        </w:rPr>
      </w:r>
    </w:p>
    <w:p>
      <w:pPr>
        <w:pStyle w:val="68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528"/>
        <w:jc w:val="both"/>
        <w:rPr>
          <w:rFonts w:ascii="Times New Roman" w:hAnsi="Times New Roman" w:eastAsia="Times New Roman"/>
          <w:color w:val="000000"/>
          <w:sz w:val="24"/>
          <w:szCs w:val="18"/>
          <w:lang w:val="ru-RU"/>
        </w:rPr>
      </w:pPr>
      <w:r>
        <w:rPr>
          <w:rFonts w:ascii="Times New Roman" w:hAnsi="Times New Roman" w:eastAsia="Times New Roman"/>
          <w:color w:val="000000"/>
          <w:sz w:val="24"/>
          <w:szCs w:val="18"/>
          <w:lang w:val="ru-RU"/>
        </w:rPr>
        <w:t xml:space="preserve">12 </w:t>
      </w:r>
      <w:r>
        <w:rPr>
          <w:rFonts w:ascii="Times New Roman" w:hAnsi="Times New Roman" w:eastAsia="Times New Roman"/>
          <w:color w:val="000000"/>
          <w:sz w:val="24"/>
          <w:szCs w:val="18"/>
          <w:lang w:val="ru-RU"/>
        </w:rPr>
        <w:t xml:space="preserve">грудня </w:t>
      </w:r>
      <w:r>
        <w:rPr>
          <w:rFonts w:ascii="Times New Roman" w:hAnsi="Times New Roman" w:eastAsia="Times New Roman"/>
          <w:color w:val="000000"/>
          <w:sz w:val="24"/>
          <w:szCs w:val="18"/>
        </w:rPr>
        <w:t xml:space="preserve"> 2024 року №656</w:t>
      </w:r>
      <w:r>
        <w:rPr>
          <w:rFonts w:ascii="Times New Roman" w:hAnsi="Times New Roman" w:eastAsia="Times New Roman"/>
          <w:color w:val="000000"/>
          <w:sz w:val="24"/>
          <w:szCs w:val="18"/>
          <w:lang w:val="ru-RU"/>
        </w:rPr>
      </w:r>
      <w:r>
        <w:rPr>
          <w:rFonts w:ascii="Times New Roman" w:hAnsi="Times New Roman" w:eastAsia="Times New Roman"/>
          <w:color w:val="000000"/>
          <w:sz w:val="24"/>
          <w:szCs w:val="18"/>
          <w:lang w:val="ru-RU"/>
        </w:rPr>
      </w:r>
    </w:p>
    <w:p>
      <w:pPr>
        <w:pStyle w:val="68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669"/>
        <w:jc w:val="both"/>
        <w:rPr>
          <w:rFonts w:ascii="Times New Roman" w:hAnsi="Times New Roman" w:eastAsia="Times New Roman"/>
          <w:color w:val="000000"/>
          <w:sz w:val="24"/>
          <w:szCs w:val="18"/>
        </w:rPr>
      </w:pPr>
      <w:r>
        <w:rPr>
          <w:rFonts w:ascii="Times New Roman" w:hAnsi="Times New Roman" w:eastAsia="Times New Roman"/>
          <w:color w:val="000000"/>
          <w:sz w:val="24"/>
          <w:szCs w:val="18"/>
        </w:rPr>
      </w:r>
      <w:r>
        <w:rPr>
          <w:rFonts w:ascii="Times New Roman" w:hAnsi="Times New Roman" w:eastAsia="Times New Roman"/>
          <w:color w:val="000000"/>
          <w:sz w:val="24"/>
          <w:szCs w:val="18"/>
        </w:rPr>
      </w:r>
    </w:p>
    <w:p>
      <w:pPr>
        <w:pStyle w:val="68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hanging="141" w:left="5669"/>
        <w:jc w:val="both"/>
        <w:rPr>
          <w:rFonts w:ascii="Times New Roman" w:hAnsi="Times New Roman" w:eastAsia="Times New Roman"/>
          <w:color w:val="000000"/>
          <w:sz w:val="24"/>
          <w:szCs w:val="18"/>
        </w:rPr>
      </w:pPr>
      <w:r>
        <w:rPr>
          <w:rFonts w:ascii="Times New Roman" w:hAnsi="Times New Roman" w:eastAsia="Times New Roman"/>
          <w:color w:val="000000"/>
          <w:sz w:val="24"/>
          <w:szCs w:val="18"/>
        </w:rPr>
        <w:t xml:space="preserve">Додаток  </w:t>
      </w:r>
      <w:r>
        <w:rPr>
          <w:rFonts w:ascii="Times New Roman" w:hAnsi="Times New Roman" w:eastAsia="Times New Roman"/>
          <w:color w:val="000000"/>
          <w:sz w:val="24"/>
          <w:szCs w:val="18"/>
        </w:rPr>
      </w:r>
      <w:r>
        <w:rPr>
          <w:rFonts w:ascii="Times New Roman" w:hAnsi="Times New Roman" w:eastAsia="Times New Roman"/>
          <w:color w:val="000000"/>
          <w:sz w:val="24"/>
          <w:szCs w:val="18"/>
        </w:rPr>
      </w:r>
    </w:p>
    <w:p>
      <w:pPr>
        <w:pStyle w:val="68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528"/>
        <w:jc w:val="both"/>
        <w:rPr>
          <w:rFonts w:ascii="Times New Roman" w:hAnsi="Times New Roman" w:eastAsia="Times New Roman"/>
          <w:sz w:val="24"/>
          <w:szCs w:val="18"/>
        </w:rPr>
      </w:pPr>
      <w:r>
        <w:rPr>
          <w:rFonts w:ascii="Times New Roman" w:hAnsi="Times New Roman" w:eastAsia="Times New Roman"/>
          <w:color w:val="000000"/>
          <w:sz w:val="24"/>
          <w:szCs w:val="18"/>
        </w:rPr>
        <w:t xml:space="preserve">до Програми «Питна вода Менської міської територіальної громади на 2022-2024 роки»</w:t>
      </w:r>
      <w:r>
        <w:rPr>
          <w:rFonts w:ascii="Times New Roman" w:hAnsi="Times New Roman" w:eastAsia="Times New Roman"/>
          <w:sz w:val="24"/>
          <w:szCs w:val="18"/>
        </w:rPr>
        <w:t xml:space="preserve"> (нова редакція)</w:t>
      </w:r>
      <w:r>
        <w:rPr>
          <w:rFonts w:ascii="Times New Roman" w:hAnsi="Times New Roman" w:eastAsia="Times New Roman"/>
          <w:sz w:val="24"/>
          <w:szCs w:val="18"/>
        </w:rPr>
      </w:r>
      <w:r>
        <w:rPr>
          <w:rFonts w:ascii="Times New Roman" w:hAnsi="Times New Roman" w:eastAsia="Times New Roman"/>
          <w:sz w:val="24"/>
          <w:szCs w:val="18"/>
        </w:rPr>
      </w:r>
    </w:p>
    <w:p>
      <w:pPr>
        <w:pStyle w:val="682"/>
        <w:pBdr>
          <w:right w:val="none" w:color="000000" w:sz="4" w:space="9"/>
        </w:pBdr>
        <w:spacing/>
        <w:ind w:firstLine="567"/>
        <w:jc w:val="both"/>
        <w:rPr>
          <w:rFonts w:ascii="Times New Roman" w:hAnsi="Times New Roman" w:eastAsia="Times New Roman"/>
          <w:sz w:val="28"/>
        </w:rPr>
      </w:pPr>
      <w:r>
        <w:rPr>
          <w:rFonts w:ascii="Times New Roman" w:hAnsi="Times New Roman" w:eastAsia="Times New Roman"/>
          <w:sz w:val="28"/>
        </w:rPr>
      </w:r>
      <w:r>
        <w:rPr>
          <w:rFonts w:ascii="Times New Roman" w:hAnsi="Times New Roman" w:eastAsia="Times New Roman"/>
          <w:sz w:val="28"/>
        </w:rPr>
      </w:r>
    </w:p>
    <w:p>
      <w:pPr>
        <w:pStyle w:val="682"/>
        <w:pBdr>
          <w:right w:val="none" w:color="000000" w:sz="4" w:space="9"/>
        </w:pBdr>
        <w:spacing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b/>
          <w:sz w:val="28"/>
          <w:szCs w:val="28"/>
        </w:rPr>
        <w:t xml:space="preserve">Основні заходи реалізації  Програми </w:t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8"/>
          <w:szCs w:val="28"/>
        </w:rPr>
        <w:t xml:space="preserve">Питна вода Менської міської територіальної громадина 2022-2024 роки»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Style w:val="682"/>
        <w:pBdr>
          <w:right w:val="none" w:color="000000" w:sz="4" w:space="9"/>
        </w:pBdr>
        <w:spacing/>
        <w:ind w:firstLine="567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tbl>
      <w:tblPr>
        <w:tblW w:w="0" w:type="auto"/>
        <w:tblInd w:w="324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42"/>
        <w:gridCol w:w="2693"/>
        <w:gridCol w:w="1134"/>
        <w:gridCol w:w="2211"/>
        <w:gridCol w:w="1474"/>
        <w:gridCol w:w="1384"/>
      </w:tblGrid>
      <w:tr>
        <w:trPr>
          <w:trHeight w:val="711"/>
          <w:tblHeader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sz w:val="18"/>
              </w:rPr>
              <w:t xml:space="preserve">№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</w:rPr>
              <w:t xml:space="preserve">Зміст заходу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</w:rPr>
              <w:t xml:space="preserve">Термін виконання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</w:rPr>
              <w:t xml:space="preserve">Відповідальні виконавці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</w:rPr>
              <w:t xml:space="preserve">Обсяг фінансування, тис. грн.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</w:rPr>
              <w:t xml:space="preserve">Джерела фінансування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Перевірка технічного стану діючих об'єктів водопровідно-каналізаційного господарства;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проведення технічного та енергетичного аудиту систем водопостачання та водовідведення;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проведення незалежної оцінки вартості майна мереж водопостачання та водовідведення.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2022-2024 роки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310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,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 р.-0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р.- 150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 - 160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Купівля та заміна глибинних насосів на артезіанських свердловинах та КНС (за потребою), встановлення засобів комерційного обліку (8 шт);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проведення аварійно-відновлювальних робіт;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гідродинамічна прочистка каналізації;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lang w:val="ru-RU"/>
              </w:rPr>
              <w:t xml:space="preserve"> купівля та </w:t>
            </w: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заміна електродвигуна на КНС та очисних спорудах</w:t>
            </w:r>
            <w:r>
              <w:rPr>
                <w:rFonts w:ascii="Times New Roman" w:hAnsi="Times New Roman" w:eastAsia="Times New Roman"/>
                <w:color w:val="000000"/>
                <w:sz w:val="24"/>
                <w:lang w:val="ru-RU"/>
              </w:rPr>
              <w:t xml:space="preserve">, купівля та заміна </w:t>
            </w:r>
            <w:r>
              <w:rPr>
                <w:rFonts w:ascii="Times New Roman" w:hAnsi="Times New Roman" w:eastAsia="Times New Roman"/>
                <w:color w:val="000000"/>
                <w:sz w:val="24"/>
                <w:lang w:val="ru-RU"/>
              </w:rPr>
              <w:t xml:space="preserve">частотного </w:t>
            </w:r>
            <w:r>
              <w:rPr>
                <w:rFonts w:ascii="Times New Roman" w:hAnsi="Times New Roman" w:eastAsia="Times New Roman"/>
                <w:color w:val="000000"/>
                <w:sz w:val="24"/>
                <w:lang w:val="ru-RU"/>
              </w:rPr>
              <w:t xml:space="preserve">перетворювача;</w:t>
            </w:r>
            <w:r>
              <w:rPr>
                <w:rFonts w:ascii="Times New Roman" w:hAnsi="Times New Roman" w:eastAsia="Times New Roman"/>
                <w:color w:val="000000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lang w:val="ru-RU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2022-2024 роки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1600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,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 р. – 300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 – 750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 – 550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3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Встановлення огорож території артезіанських свердловин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2022-2024 роки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рада, підприємства, що надають послуги з водопостачання та водовідведення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161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,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 р. 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р.-80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р.-81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trHeight w:val="1280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4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Оформлення земельних ділянок під свердловинами та водонапірними баштами на території Менської територіальної громади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2022-2024 роки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148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,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 р. -30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р.-58 2024 р.-60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trHeight w:val="1470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Відбір аналізів та дослідження якості питної води, проведення заходів з паспортизації громадських колодязів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2022-2024 роки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192,392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,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 р. -20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р.-135,85 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р.-36,542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cantSplit/>
          <w:trHeight w:val="375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6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Виготовлення ПКД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 рік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100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</w:tr>
      <w:tr>
        <w:trPr>
          <w:trHeight w:val="1273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7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  <w:t xml:space="preserve">7.1</w:t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  <w:t xml:space="preserve">7.2</w:t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  <w:t xml:space="preserve">7.3</w:t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  <w:t xml:space="preserve">7.4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Реконструкція комплексу очисних споруд м.Мена, який розташований за межами міста Мена, Менської міської територіальної громади, Корюківського району, Чернігівської області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Оплата технічних умов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Виготовлення проєктно-кошторисної документації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Проведення експертизи проєктно-кошторисної документації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Вартість будівельних робіт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2022-2024 роки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20100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,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р.-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50,0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30,0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17000,0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р.-3000 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trHeight w:val="1305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8</w:t>
            </w:r>
            <w:r>
              <w:rPr>
                <w:rFonts w:ascii="Times New Roman" w:hAnsi="Times New Roman" w:eastAsia="Times New Roman"/>
              </w:rPr>
            </w:r>
            <w:r/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Проведення ліквідаційного санітарно-технічного тампонажу недіючих та безхазяйних  свердловини (20 шт.)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2022-2024 роки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 3000,0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 р. -3000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р.-200 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Обласний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trHeight w:val="2832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9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32"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9.1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9.2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9.3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Реконструкція вуличних водопровідних мереж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Виконання топографічної зйомки  М 1:500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Виготовлення проєктно-кошторисної документації та проведення експертизи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Вартість будівельних робіт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рік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7330,5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р.-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9"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50,5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280,0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7000,0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</w:tr>
      <w:tr>
        <w:trPr>
          <w:trHeight w:val="1503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Технічна інвентаризація з виготовлення технічних паспортів на об’єкти водопостачання та водовідведення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2023-2024 роки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sz w:val="22"/>
              </w:rPr>
              <w:t xml:space="preserve">100,0 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р.- 50,0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 -50,0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</w:tr>
      <w:tr>
        <w:trPr>
          <w:cantSplit/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11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Витрати на оплату сертифіката готовності об’єкта до експлуатації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2023-2024 роки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27,0 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з них: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 - 13,0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 – 14,0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12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32"/>
              <w:ind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32"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12.1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12.2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12.3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Реконструкція вуличних каналізаційних мереж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Виконання топографічної зйомки  М 1:500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Виготовлення проєктно-кошторисної документації та проведення експертизи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Вартість будівельних робіт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рік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350,0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р.-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9"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50,0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70,0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230,0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13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Виконання виконавчої контрольної-геодезичної зйомки </w:t>
            </w:r>
            <w:r>
              <w:rPr>
                <w:rFonts w:ascii="Times New Roman" w:hAnsi="Times New Roman"/>
                <w:sz w:val="24"/>
                <w:szCs w:val="22"/>
              </w:rPr>
            </w:r>
            <w:r>
              <w:rPr>
                <w:rFonts w:ascii="Times New Roman" w:hAnsi="Times New Roman"/>
                <w:sz w:val="24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М 1:500</w:t>
            </w:r>
            <w:r>
              <w:rPr>
                <w:rFonts w:ascii="Times New Roman" w:hAnsi="Times New Roman"/>
                <w:sz w:val="24"/>
                <w:szCs w:val="22"/>
              </w:rPr>
            </w:r>
            <w:r>
              <w:rPr>
                <w:rFonts w:ascii="Times New Roman" w:hAnsi="Times New Roman"/>
                <w:sz w:val="24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рік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25,0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 – 25,0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</w:tr>
      <w:tr>
        <w:trPr>
          <w:trHeight w:val="4366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14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/>
                <w:sz w:val="24"/>
                <w:szCs w:val="22"/>
                <w:lang w:val="ru-RU"/>
              </w:rPr>
            </w:pPr>
            <w:r>
              <w:rPr>
                <w:rFonts w:ascii="Times New Roman" w:hAnsi="Times New Roman"/>
                <w:sz w:val="24"/>
                <w:szCs w:val="22"/>
                <w:lang w:val="ru-RU"/>
              </w:rPr>
              <w:t xml:space="preserve">Будівництво резервної лінії 0,4 кВ від ЗТП-393-11 до споруд водозабору по вул. Чернігівський шлях, 11 в м. Мена, Чернігівської області</w:t>
            </w:r>
            <w:r>
              <w:rPr>
                <w:rFonts w:ascii="Times New Roman" w:hAnsi="Times New Roman"/>
                <w:sz w:val="24"/>
                <w:szCs w:val="22"/>
                <w:lang w:val="ru-RU"/>
              </w:rPr>
            </w:r>
            <w:r>
              <w:rPr>
                <w:rFonts w:ascii="Times New Roman" w:hAnsi="Times New Roman"/>
                <w:sz w:val="24"/>
                <w:szCs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/>
                <w:sz w:val="24"/>
                <w:szCs w:val="22"/>
                <w:lang w:val="ru-RU"/>
              </w:rPr>
            </w:pPr>
            <w:r>
              <w:rPr>
                <w:rFonts w:ascii="Times New Roman" w:hAnsi="Times New Roman"/>
                <w:sz w:val="24"/>
                <w:szCs w:val="22"/>
                <w:lang w:val="ru-RU"/>
              </w:rPr>
            </w:r>
            <w:r>
              <w:rPr>
                <w:rFonts w:ascii="Times New Roman" w:hAnsi="Times New Roman"/>
                <w:sz w:val="24"/>
                <w:szCs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Оплата технічних умов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/>
                <w:sz w:val="24"/>
                <w:szCs w:val="22"/>
                <w:lang w:val="ru-RU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Виготовлення проєктно-кошторисної документації</w:t>
            </w:r>
            <w:r>
              <w:rPr>
                <w:rFonts w:ascii="Times New Roman" w:hAnsi="Times New Roman"/>
                <w:sz w:val="24"/>
                <w:szCs w:val="22"/>
                <w:lang w:val="ru-RU"/>
              </w:rPr>
            </w:r>
            <w:r>
              <w:rPr>
                <w:rFonts w:ascii="Times New Roman" w:hAnsi="Times New Roman"/>
                <w:sz w:val="24"/>
                <w:szCs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Виконання топографічної зйомки  М 1:500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lang w:val="ru-RU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Проведення експертизи проєктно-кошторисної документації</w:t>
            </w:r>
            <w:r>
              <w:rPr>
                <w:rFonts w:ascii="Times New Roman" w:hAnsi="Times New Roman" w:eastAsia="Times New Roman"/>
                <w:lang w:val="ru-RU"/>
              </w:rPr>
            </w:r>
            <w:r>
              <w:rPr>
                <w:rFonts w:ascii="Times New Roman" w:hAnsi="Times New Roman" w:eastAsia="Times New Roman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Вартість будівельних робіт</w:t>
            </w:r>
            <w:r>
              <w:rPr>
                <w:rFonts w:ascii="Times New Roman" w:hAnsi="Times New Roman"/>
                <w:sz w:val="24"/>
                <w:szCs w:val="22"/>
              </w:rPr>
            </w:r>
            <w:r>
              <w:rPr>
                <w:rFonts w:ascii="Times New Roman" w:hAnsi="Times New Roman"/>
                <w:sz w:val="24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  <w:t xml:space="preserve">2024 рік</w:t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sz w:val="22"/>
                <w:lang w:val="ru-RU"/>
              </w:rPr>
              <w:t xml:space="preserve">2160</w:t>
            </w:r>
            <w:r>
              <w:rPr>
                <w:rFonts w:ascii="Times New Roman" w:hAnsi="Times New Roman" w:eastAsia="Times New Roman"/>
                <w:b/>
                <w:sz w:val="22"/>
              </w:rPr>
              <w:t xml:space="preserve">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р.-</w:t>
            </w:r>
            <w:r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en-US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  <w:t xml:space="preserve">50,0</w:t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/>
                <w:color w:val="000000"/>
                <w:lang w:val="en-US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  <w:t xml:space="preserve">70,0</w:t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  <w:t xml:space="preserve">25,0</w:t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  <w:t xml:space="preserve">15,0</w:t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  <w:t xml:space="preserve">2000,0</w:t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</w:tr>
      <w:tr>
        <w:trPr>
          <w:trHeight w:val="4366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2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15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Реконструкція каналізаційної мережі від буд.2 до буд. 6 по вул. Корольова та до вул. Героїв АТО в м. Мена, Чернігівської області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Виконання топографічної зйомки  М 1:500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Виготовлення проєктно-кошторисної документації та проведення експертизи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Вартість будівельних робіт 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рік</w:t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11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/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4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2680,0 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з них: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р.-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30</w:t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150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2500,0</w:t>
            </w:r>
            <w:r/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84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</w:tr>
    </w:tbl>
    <w:p>
      <w:pPr>
        <w:pStyle w:val="682"/>
        <w:pBdr>
          <w:right w:val="none" w:color="000000" w:sz="4" w:space="9"/>
        </w:pBdr>
        <w:tabs>
          <w:tab w:val="left" w:leader="none" w:pos="567"/>
          <w:tab w:val="left" w:leader="none" w:pos="6803"/>
        </w:tabs>
        <w:spacing/>
        <w:ind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682"/>
        <w:pBdr>
          <w:right w:val="none" w:color="000000" w:sz="4" w:space="9"/>
        </w:pBdr>
        <w:tabs>
          <w:tab w:val="left" w:leader="none" w:pos="567"/>
          <w:tab w:val="left" w:leader="none" w:pos="6803"/>
        </w:tabs>
        <w:spacing/>
        <w:ind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Cs/>
          <w:sz w:val="28"/>
          <w:szCs w:val="28"/>
        </w:rPr>
        <w:t xml:space="preserve">Начальник відділу житлово-комунального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682"/>
        <w:pBdr>
          <w:right w:val="none" w:color="000000" w:sz="4" w:space="9"/>
        </w:pBdr>
        <w:tabs>
          <w:tab w:val="left" w:leader="none" w:pos="567"/>
          <w:tab w:val="left" w:leader="none" w:pos="6803"/>
        </w:tabs>
        <w:spacing/>
        <w:ind/>
        <w:jc w:val="both"/>
        <w:rPr>
          <w:rFonts w:ascii="Times New Roman" w:hAnsi="Times New Roman" w:eastAsia="Times New Roman"/>
          <w:bCs/>
          <w:sz w:val="28"/>
          <w:szCs w:val="28"/>
        </w:rPr>
      </w:pPr>
      <w:r>
        <w:rPr>
          <w:rFonts w:ascii="Times New Roman" w:hAnsi="Times New Roman" w:eastAsia="Times New Roman"/>
          <w:bCs/>
          <w:sz w:val="28"/>
          <w:szCs w:val="28"/>
        </w:rPr>
        <w:t xml:space="preserve">господарства та комунального майна</w:t>
        <w:tab/>
        <w:t xml:space="preserve">Ірина ЄКИМЕНКО</w:t>
      </w:r>
      <w:r>
        <w:rPr>
          <w:rFonts w:ascii="Times New Roman" w:hAnsi="Times New Roman" w:eastAsia="Times New Roman"/>
          <w:bCs/>
          <w:sz w:val="28"/>
          <w:szCs w:val="28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170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8"/>
      <w:pBdr/>
      <w:spacing/>
      <w:ind/>
      <w:jc w:val="right"/>
      <w:rPr>
        <w:rFonts w:ascii="Times New Roman" w:hAnsi="Times New Roman" w:eastAsia="Times New Roman"/>
        <w:i/>
        <w:sz w:val="24"/>
      </w:rPr>
    </w:pPr>
    <w:r>
      <w:fldChar w:fldCharType="begin"/>
    </w:r>
    <w:r>
      <w:instrText xml:space="preserve">PAGE \* MERGEFORMAT</w:instrText>
    </w:r>
    <w:r>
      <w:rPr>
        <w:rFonts w:ascii="Times New Roman" w:hAnsi="Times New Roman" w:eastAsia="Times New Roman"/>
        <w:i/>
        <w:sz w:val="24"/>
      </w:rPr>
      <w:fldChar w:fldCharType="separate"/>
    </w:r>
    <w:r>
      <w:rPr>
        <w:rFonts w:ascii="Times New Roman" w:hAnsi="Times New Roman" w:eastAsia="Times New Roman"/>
        <w:i/>
        <w:sz w:val="24"/>
      </w:rPr>
      <w:t xml:space="preserve">2</w:t>
    </w:r>
    <w:r>
      <w:rPr>
        <w:rFonts w:ascii="Times New Roman" w:hAnsi="Times New Roman" w:eastAsia="Times New Roman"/>
        <w:i/>
        <w:sz w:val="24"/>
      </w:rPr>
      <w:fldChar w:fldCharType="end"/>
    </w:r>
    <w:r>
      <w:rPr>
        <w:rFonts w:ascii="Times New Roman" w:hAnsi="Times New Roman" w:eastAsia="Times New Roman"/>
        <w:i/>
        <w:sz w:val="24"/>
      </w:rPr>
      <w:t xml:space="preserve">                                   продовження додатка</w:t>
    </w:r>
    <w:r>
      <w:rPr>
        <w:rFonts w:ascii="Times New Roman" w:hAnsi="Times New Roman" w:eastAsia="Times New Roman"/>
        <w:i/>
        <w:sz w:val="24"/>
      </w:rPr>
    </w:r>
    <w:r>
      <w:rPr>
        <w:rFonts w:ascii="Times New Roman" w:hAnsi="Times New Roman" w:eastAsia="Times New Roman"/>
        <w:i/>
        <w:sz w:val="24"/>
      </w:rPr>
    </w:r>
  </w:p>
  <w:p>
    <w:pPr>
      <w:pStyle w:val="748"/>
      <w:pBdr/>
      <w:spacing/>
      <w:ind/>
      <w:jc w:val="right"/>
      <w:rPr>
        <w:rFonts w:ascii="Times New Roman" w:hAnsi="Times New Roman" w:eastAsia="Times New Roman"/>
        <w:i/>
        <w:sz w:val="24"/>
      </w:rPr>
    </w:pPr>
    <w:r>
      <w:rPr>
        <w:rFonts w:ascii="Times New Roman" w:hAnsi="Times New Roman" w:eastAsia="Times New Roman"/>
        <w:i/>
        <w:sz w:val="24"/>
      </w:rPr>
    </w:r>
    <w:r>
      <w:rPr>
        <w:rFonts w:ascii="Times New Roman" w:hAnsi="Times New Roman" w:eastAsia="Times New Roman"/>
        <w:i/>
        <w:sz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2"/>
      <w:pBdr/>
      <w:spacing/>
      <w:ind/>
      <w:jc w:val="center"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682"/>
    <w:next w:val="682"/>
    <w:link w:val="72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82"/>
    <w:next w:val="682"/>
    <w:link w:val="7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82"/>
    <w:next w:val="682"/>
    <w:link w:val="72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4">
    <w:name w:val="List Paragraph"/>
    <w:basedOn w:val="682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82"/>
    <w:next w:val="682"/>
    <w:link w:val="72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8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82"/>
    <w:link w:val="74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682"/>
    <w:link w:val="75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682"/>
    <w:next w:val="68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82"/>
    <w:link w:val="72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82"/>
    <w:link w:val="72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82"/>
    <w:next w:val="682"/>
    <w:uiPriority w:val="99"/>
    <w:unhideWhenUsed/>
    <w:pPr>
      <w:pBdr/>
      <w:spacing w:after="0" w:afterAutospacing="0"/>
      <w:ind/>
    </w:pPr>
  </w:style>
  <w:style w:type="paragraph" w:styleId="682" w:default="1">
    <w:name w:val="Normal"/>
    <w:next w:val="682"/>
    <w:link w:val="682"/>
    <w:qFormat/>
    <w:pPr>
      <w:pBdr/>
      <w:spacing/>
      <w:ind/>
    </w:pPr>
    <w:rPr>
      <w:lang w:val="uk-UA" w:eastAsia="zh-CN" w:bidi="ar-SA"/>
    </w:rPr>
  </w:style>
  <w:style w:type="character" w:styleId="683">
    <w:name w:val="Основной шрифт абзаца"/>
    <w:next w:val="683"/>
    <w:link w:val="682"/>
    <w:uiPriority w:val="1"/>
    <w:semiHidden/>
    <w:unhideWhenUsed/>
    <w:pPr>
      <w:pBdr/>
      <w:spacing/>
      <w:ind/>
    </w:pPr>
  </w:style>
  <w:style w:type="table" w:styleId="684">
    <w:name w:val="Обычная таблица"/>
    <w:next w:val="684"/>
    <w:link w:val="682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85">
    <w:name w:val="Нет списка"/>
    <w:next w:val="685"/>
    <w:link w:val="682"/>
    <w:uiPriority w:val="99"/>
    <w:semiHidden/>
    <w:unhideWhenUsed/>
    <w:pPr>
      <w:pBdr/>
      <w:spacing/>
      <w:ind/>
    </w:pPr>
  </w:style>
  <w:style w:type="table" w:styleId="686">
    <w:name w:val="Сетка таблицы"/>
    <w:next w:val="68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7">
    <w:name w:val="Название"/>
    <w:basedOn w:val="682"/>
    <w:next w:val="687"/>
    <w:link w:val="744"/>
    <w:pPr>
      <w:pBdr/>
      <w:spacing w:after="200" w:before="300"/>
      <w:ind/>
      <w:contextualSpacing w:val="true"/>
    </w:pPr>
    <w:rPr>
      <w:sz w:val="48"/>
      <w:szCs w:val="48"/>
      <w:lang w:val="en-US" w:eastAsia="en-US"/>
    </w:rPr>
  </w:style>
  <w:style w:type="paragraph" w:styleId="688">
    <w:name w:val="Подзаголовок"/>
    <w:basedOn w:val="682"/>
    <w:next w:val="688"/>
    <w:link w:val="745"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689">
    <w:name w:val="Цитата 2"/>
    <w:basedOn w:val="682"/>
    <w:next w:val="689"/>
    <w:link w:val="746"/>
    <w:pPr>
      <w:pBdr/>
      <w:spacing/>
      <w:ind w:right="720" w:left="720"/>
    </w:pPr>
    <w:rPr>
      <w:i/>
    </w:rPr>
  </w:style>
  <w:style w:type="paragraph" w:styleId="690">
    <w:name w:val="Абзац списка"/>
    <w:basedOn w:val="682"/>
    <w:next w:val="690"/>
    <w:link w:val="682"/>
    <w:pPr>
      <w:pBdr/>
      <w:spacing/>
      <w:ind w:left="720"/>
      <w:contextualSpacing w:val="true"/>
    </w:pPr>
    <w:rPr>
      <w:lang w:val="ru-RU" w:eastAsia="zh-CN" w:bidi="ar-SA"/>
    </w:rPr>
  </w:style>
  <w:style w:type="character" w:styleId="691">
    <w:name w:val="Сильное выделение"/>
    <w:basedOn w:val="683"/>
    <w:next w:val="691"/>
    <w:link w:val="682"/>
    <w:uiPriority w:val="21"/>
    <w:qFormat/>
    <w:pPr>
      <w:pBdr/>
      <w:spacing/>
      <w:ind/>
    </w:pPr>
    <w:rPr>
      <w:i/>
      <w:iCs/>
      <w:color w:val="365f91"/>
    </w:rPr>
  </w:style>
  <w:style w:type="paragraph" w:styleId="692">
    <w:name w:val="Выделенная цитата"/>
    <w:basedOn w:val="682"/>
    <w:next w:val="692"/>
    <w:link w:val="747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693">
    <w:name w:val="Сильная ссылка"/>
    <w:basedOn w:val="683"/>
    <w:next w:val="693"/>
    <w:link w:val="682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694">
    <w:name w:val="Без интервала"/>
    <w:basedOn w:val="682"/>
    <w:next w:val="694"/>
    <w:link w:val="88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sz w:val="22"/>
      <w:szCs w:val="22"/>
      <w:lang w:val="en-US" w:eastAsia="en-US" w:bidi="en-US"/>
    </w:rPr>
  </w:style>
  <w:style w:type="character" w:styleId="695">
    <w:name w:val="Слабое выделение"/>
    <w:basedOn w:val="683"/>
    <w:next w:val="695"/>
    <w:link w:val="682"/>
    <w:uiPriority w:val="19"/>
    <w:qFormat/>
    <w:pPr>
      <w:pBdr/>
      <w:spacing/>
      <w:ind/>
    </w:pPr>
    <w:rPr>
      <w:i/>
      <w:iCs/>
      <w:color w:val="404040"/>
    </w:rPr>
  </w:style>
  <w:style w:type="character" w:styleId="696">
    <w:name w:val="Выделение"/>
    <w:basedOn w:val="683"/>
    <w:next w:val="696"/>
    <w:link w:val="682"/>
    <w:uiPriority w:val="20"/>
    <w:qFormat/>
    <w:pPr>
      <w:pBdr/>
      <w:spacing/>
      <w:ind/>
    </w:pPr>
    <w:rPr>
      <w:i/>
      <w:iCs/>
    </w:rPr>
  </w:style>
  <w:style w:type="character" w:styleId="697">
    <w:name w:val="Строгий"/>
    <w:basedOn w:val="683"/>
    <w:next w:val="697"/>
    <w:link w:val="682"/>
    <w:uiPriority w:val="22"/>
    <w:qFormat/>
    <w:pPr>
      <w:pBdr/>
      <w:spacing/>
      <w:ind/>
    </w:pPr>
    <w:rPr>
      <w:b/>
      <w:bCs/>
    </w:rPr>
  </w:style>
  <w:style w:type="character" w:styleId="698">
    <w:name w:val="Слабая ссылка"/>
    <w:basedOn w:val="683"/>
    <w:next w:val="698"/>
    <w:link w:val="682"/>
    <w:uiPriority w:val="31"/>
    <w:qFormat/>
    <w:pPr>
      <w:pBdr/>
      <w:spacing/>
      <w:ind/>
    </w:pPr>
    <w:rPr>
      <w:smallCaps/>
      <w:color w:val="5a5a5a"/>
    </w:rPr>
  </w:style>
  <w:style w:type="character" w:styleId="699">
    <w:name w:val="Название книги"/>
    <w:basedOn w:val="683"/>
    <w:next w:val="699"/>
    <w:link w:val="68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00">
    <w:name w:val="Header1"/>
    <w:basedOn w:val="682"/>
    <w:next w:val="700"/>
    <w:link w:val="74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1">
    <w:name w:val="Footer1"/>
    <w:basedOn w:val="682"/>
    <w:next w:val="701"/>
    <w:link w:val="751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2">
    <w:name w:val="Caption1"/>
    <w:basedOn w:val="682"/>
    <w:next w:val="682"/>
    <w:link w:val="682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703">
    <w:name w:val="Текст сноски"/>
    <w:basedOn w:val="682"/>
    <w:next w:val="703"/>
    <w:link w:val="879"/>
    <w:semiHidden/>
    <w:pPr>
      <w:pBdr/>
      <w:spacing w:after="40"/>
      <w:ind/>
    </w:pPr>
    <w:rPr>
      <w:sz w:val="18"/>
      <w:lang w:val="en-US" w:eastAsia="en-US"/>
    </w:rPr>
  </w:style>
  <w:style w:type="character" w:styleId="704">
    <w:name w:val="Знак сноски"/>
    <w:next w:val="704"/>
    <w:link w:val="682"/>
    <w:pPr>
      <w:pBdr/>
      <w:spacing/>
      <w:ind/>
    </w:pPr>
    <w:rPr>
      <w:vertAlign w:val="superscript"/>
    </w:rPr>
  </w:style>
  <w:style w:type="paragraph" w:styleId="705">
    <w:name w:val="Текст концевой сноски"/>
    <w:basedOn w:val="682"/>
    <w:next w:val="705"/>
    <w:link w:val="880"/>
    <w:semiHidden/>
    <w:pPr>
      <w:pBdr/>
      <w:spacing/>
      <w:ind/>
    </w:pPr>
  </w:style>
  <w:style w:type="character" w:styleId="706">
    <w:name w:val="Знак концевой сноски"/>
    <w:next w:val="706"/>
    <w:link w:val="682"/>
    <w:semiHidden/>
    <w:pPr>
      <w:pBdr/>
      <w:spacing/>
      <w:ind/>
    </w:pPr>
    <w:rPr>
      <w:vertAlign w:val="superscript"/>
    </w:rPr>
  </w:style>
  <w:style w:type="character" w:styleId="707">
    <w:name w:val="Гиперссылка"/>
    <w:next w:val="707"/>
    <w:link w:val="682"/>
    <w:pPr>
      <w:pBdr/>
      <w:spacing/>
      <w:ind/>
    </w:pPr>
    <w:rPr>
      <w:color w:val="0000ff"/>
      <w:u w:val="single"/>
    </w:rPr>
  </w:style>
  <w:style w:type="character" w:styleId="708">
    <w:name w:val="Просмотренная гиперссылка"/>
    <w:basedOn w:val="683"/>
    <w:next w:val="708"/>
    <w:link w:val="682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09">
    <w:name w:val="Заголовок оглавления"/>
    <w:next w:val="709"/>
    <w:link w:val="682"/>
    <w:pPr>
      <w:pBdr/>
      <w:spacing/>
      <w:ind/>
    </w:pPr>
    <w:rPr>
      <w:lang w:val="ru-RU" w:eastAsia="zh-CN" w:bidi="ar-SA"/>
    </w:rPr>
  </w:style>
  <w:style w:type="paragraph" w:styleId="710">
    <w:name w:val="Перечень рисунков"/>
    <w:basedOn w:val="682"/>
    <w:next w:val="710"/>
    <w:link w:val="682"/>
    <w:pPr>
      <w:pBdr/>
      <w:spacing/>
      <w:ind/>
    </w:pPr>
    <w:rPr>
      <w:lang w:val="ru-RU" w:eastAsia="zh-CN" w:bidi="ar-SA"/>
    </w:rPr>
  </w:style>
  <w:style w:type="paragraph" w:styleId="711">
    <w:name w:val="Оглавление 1"/>
    <w:next w:val="711"/>
    <w:link w:val="682"/>
    <w:pPr>
      <w:pBdr/>
      <w:spacing w:after="57"/>
      <w:ind/>
    </w:pPr>
    <w:rPr>
      <w:lang w:val="ru-RU" w:eastAsia="zh-CN" w:bidi="ar-SA"/>
    </w:rPr>
  </w:style>
  <w:style w:type="paragraph" w:styleId="712">
    <w:name w:val="Оглавление 2"/>
    <w:next w:val="712"/>
    <w:link w:val="682"/>
    <w:pPr>
      <w:pBdr/>
      <w:spacing w:after="57"/>
      <w:ind w:left="283"/>
    </w:pPr>
    <w:rPr>
      <w:lang w:val="ru-RU" w:eastAsia="zh-CN" w:bidi="ar-SA"/>
    </w:rPr>
  </w:style>
  <w:style w:type="paragraph" w:styleId="713">
    <w:name w:val="Оглавление 3"/>
    <w:next w:val="713"/>
    <w:link w:val="682"/>
    <w:pPr>
      <w:pBdr/>
      <w:spacing w:after="57"/>
      <w:ind w:left="567"/>
    </w:pPr>
    <w:rPr>
      <w:lang w:val="ru-RU" w:eastAsia="zh-CN" w:bidi="ar-SA"/>
    </w:rPr>
  </w:style>
  <w:style w:type="paragraph" w:styleId="714">
    <w:name w:val="Оглавление 4"/>
    <w:next w:val="714"/>
    <w:link w:val="682"/>
    <w:pPr>
      <w:pBdr/>
      <w:spacing w:after="57"/>
      <w:ind w:left="850"/>
    </w:pPr>
    <w:rPr>
      <w:lang w:val="ru-RU" w:eastAsia="zh-CN" w:bidi="ar-SA"/>
    </w:rPr>
  </w:style>
  <w:style w:type="paragraph" w:styleId="715">
    <w:name w:val="Оглавление 5"/>
    <w:next w:val="715"/>
    <w:link w:val="682"/>
    <w:pPr>
      <w:pBdr/>
      <w:spacing w:after="57"/>
      <w:ind w:left="1134"/>
    </w:pPr>
    <w:rPr>
      <w:lang w:val="ru-RU" w:eastAsia="zh-CN" w:bidi="ar-SA"/>
    </w:rPr>
  </w:style>
  <w:style w:type="paragraph" w:styleId="716">
    <w:name w:val="Оглавление 6"/>
    <w:next w:val="716"/>
    <w:link w:val="682"/>
    <w:pPr>
      <w:pBdr/>
      <w:spacing w:after="57"/>
      <w:ind w:left="1417"/>
    </w:pPr>
    <w:rPr>
      <w:lang w:val="ru-RU" w:eastAsia="zh-CN" w:bidi="ar-SA"/>
    </w:rPr>
  </w:style>
  <w:style w:type="paragraph" w:styleId="717">
    <w:name w:val="Оглавление 7"/>
    <w:next w:val="717"/>
    <w:link w:val="682"/>
    <w:pPr>
      <w:pBdr/>
      <w:spacing w:after="57"/>
      <w:ind w:left="1701"/>
    </w:pPr>
    <w:rPr>
      <w:lang w:val="ru-RU" w:eastAsia="zh-CN" w:bidi="ar-SA"/>
    </w:rPr>
  </w:style>
  <w:style w:type="paragraph" w:styleId="718">
    <w:name w:val="Оглавление 8"/>
    <w:next w:val="718"/>
    <w:link w:val="682"/>
    <w:pPr>
      <w:pBdr/>
      <w:spacing w:after="57"/>
      <w:ind w:left="1984"/>
    </w:pPr>
    <w:rPr>
      <w:lang w:val="ru-RU" w:eastAsia="zh-CN" w:bidi="ar-SA"/>
    </w:rPr>
  </w:style>
  <w:style w:type="paragraph" w:styleId="719">
    <w:name w:val="Оглавление 9"/>
    <w:next w:val="719"/>
    <w:link w:val="682"/>
    <w:pPr>
      <w:pBdr/>
      <w:spacing w:after="57"/>
      <w:ind w:left="2268"/>
    </w:pPr>
    <w:rPr>
      <w:lang w:val="ru-RU" w:eastAsia="zh-CN" w:bidi="ar-SA"/>
    </w:rPr>
  </w:style>
  <w:style w:type="character" w:styleId="720">
    <w:name w:val="Title Char"/>
    <w:next w:val="720"/>
    <w:link w:val="682"/>
    <w:pPr>
      <w:pBdr/>
      <w:spacing/>
      <w:ind/>
    </w:pPr>
    <w:rPr>
      <w:sz w:val="48"/>
      <w:szCs w:val="48"/>
    </w:rPr>
  </w:style>
  <w:style w:type="character" w:styleId="721">
    <w:name w:val="Subtitle Char"/>
    <w:next w:val="721"/>
    <w:link w:val="682"/>
    <w:pPr>
      <w:pBdr/>
      <w:spacing/>
      <w:ind/>
    </w:pPr>
    <w:rPr>
      <w:sz w:val="24"/>
      <w:szCs w:val="24"/>
    </w:rPr>
  </w:style>
  <w:style w:type="character" w:styleId="722">
    <w:name w:val="Quote Char"/>
    <w:next w:val="722"/>
    <w:link w:val="682"/>
    <w:pPr>
      <w:pBdr/>
      <w:spacing/>
      <w:ind/>
    </w:pPr>
    <w:rPr>
      <w:i/>
    </w:rPr>
  </w:style>
  <w:style w:type="character" w:styleId="723">
    <w:name w:val="Intense Quote Char"/>
    <w:next w:val="723"/>
    <w:link w:val="682"/>
    <w:pPr>
      <w:pBdr/>
      <w:spacing/>
      <w:ind/>
    </w:pPr>
    <w:rPr>
      <w:i/>
    </w:rPr>
  </w:style>
  <w:style w:type="character" w:styleId="724">
    <w:name w:val="Footnote Text Char"/>
    <w:next w:val="724"/>
    <w:link w:val="682"/>
    <w:pPr>
      <w:pBdr/>
      <w:spacing/>
      <w:ind/>
    </w:pPr>
    <w:rPr>
      <w:sz w:val="18"/>
    </w:rPr>
  </w:style>
  <w:style w:type="character" w:styleId="725">
    <w:name w:val="Endnote Text Char"/>
    <w:next w:val="725"/>
    <w:link w:val="682"/>
    <w:pPr>
      <w:pBdr/>
      <w:spacing/>
      <w:ind/>
    </w:pPr>
    <w:rPr>
      <w:sz w:val="20"/>
    </w:rPr>
  </w:style>
  <w:style w:type="paragraph" w:styleId="726">
    <w:name w:val="Heading 1"/>
    <w:next w:val="726"/>
    <w:link w:val="727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727">
    <w:name w:val="Heading 1 Char"/>
    <w:next w:val="727"/>
    <w:link w:val="726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728">
    <w:name w:val="Heading 2"/>
    <w:next w:val="728"/>
    <w:link w:val="729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729">
    <w:name w:val="Heading 2 Char"/>
    <w:next w:val="729"/>
    <w:link w:val="728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730">
    <w:name w:val="Heading 3"/>
    <w:next w:val="730"/>
    <w:link w:val="731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731">
    <w:name w:val="Heading 3 Char"/>
    <w:next w:val="731"/>
    <w:link w:val="730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732">
    <w:name w:val="Heading 4"/>
    <w:next w:val="732"/>
    <w:link w:val="733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733">
    <w:name w:val="Heading 4 Char"/>
    <w:next w:val="733"/>
    <w:link w:val="732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734">
    <w:name w:val="Heading 5"/>
    <w:next w:val="734"/>
    <w:link w:val="735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735">
    <w:name w:val="Heading 5 Char"/>
    <w:next w:val="735"/>
    <w:link w:val="734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736">
    <w:name w:val="Heading 6"/>
    <w:next w:val="736"/>
    <w:link w:val="737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737">
    <w:name w:val="Heading 6 Char"/>
    <w:next w:val="737"/>
    <w:link w:val="736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738">
    <w:name w:val="Heading 7"/>
    <w:next w:val="738"/>
    <w:link w:val="739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39">
    <w:name w:val="Heading 7 Char"/>
    <w:next w:val="739"/>
    <w:link w:val="738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740">
    <w:name w:val="Heading 8"/>
    <w:next w:val="740"/>
    <w:link w:val="741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741">
    <w:name w:val="Heading 8 Char"/>
    <w:next w:val="741"/>
    <w:link w:val="740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742">
    <w:name w:val="Heading 9"/>
    <w:next w:val="742"/>
    <w:link w:val="743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743">
    <w:name w:val="Heading 9 Char"/>
    <w:next w:val="743"/>
    <w:link w:val="742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744">
    <w:name w:val="Название Знак"/>
    <w:next w:val="744"/>
    <w:link w:val="687"/>
    <w:pPr>
      <w:pBdr/>
      <w:spacing/>
      <w:ind/>
    </w:pPr>
    <w:rPr>
      <w:sz w:val="48"/>
      <w:szCs w:val="48"/>
      <w:lang w:bidi="ar-SA"/>
    </w:rPr>
  </w:style>
  <w:style w:type="character" w:styleId="745">
    <w:name w:val="Подзаголовок Знак"/>
    <w:next w:val="745"/>
    <w:link w:val="688"/>
    <w:pPr>
      <w:pBdr/>
      <w:spacing/>
      <w:ind/>
    </w:pPr>
    <w:rPr>
      <w:sz w:val="24"/>
      <w:szCs w:val="24"/>
      <w:lang w:bidi="ar-SA"/>
    </w:rPr>
  </w:style>
  <w:style w:type="character" w:styleId="746">
    <w:name w:val="Цитата 2 Знак"/>
    <w:next w:val="746"/>
    <w:link w:val="689"/>
    <w:pPr>
      <w:pBdr/>
      <w:spacing/>
      <w:ind/>
    </w:pPr>
    <w:rPr>
      <w:i/>
      <w:lang w:val="uk-UA" w:eastAsia="zh-CN" w:bidi="ar-SA"/>
    </w:rPr>
  </w:style>
  <w:style w:type="character" w:styleId="747">
    <w:name w:val="Выделенная цитата Знак"/>
    <w:next w:val="747"/>
    <w:link w:val="692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748">
    <w:name w:val="Header1"/>
    <w:next w:val="748"/>
    <w:link w:val="749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49">
    <w:name w:val="Header Char"/>
    <w:next w:val="749"/>
    <w:link w:val="748"/>
    <w:pPr>
      <w:pBdr/>
      <w:spacing/>
      <w:ind/>
    </w:pPr>
    <w:rPr>
      <w:lang w:val="ru-RU" w:eastAsia="zh-CN" w:bidi="ar-SA"/>
    </w:rPr>
  </w:style>
  <w:style w:type="paragraph" w:styleId="750">
    <w:name w:val="Footer1"/>
    <w:next w:val="750"/>
    <w:link w:val="753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51">
    <w:name w:val="Footer Char"/>
    <w:next w:val="751"/>
    <w:link w:val="701"/>
    <w:pPr>
      <w:pBdr/>
      <w:spacing/>
      <w:ind/>
    </w:pPr>
  </w:style>
  <w:style w:type="paragraph" w:styleId="752">
    <w:name w:val="Caption1"/>
    <w:next w:val="752"/>
    <w:link w:val="682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53">
    <w:name w:val="Caption Char"/>
    <w:next w:val="753"/>
    <w:link w:val="750"/>
    <w:pPr>
      <w:pBdr/>
      <w:spacing/>
      <w:ind/>
    </w:pPr>
    <w:rPr>
      <w:lang w:val="ru-RU" w:eastAsia="zh-CN" w:bidi="ar-SA"/>
    </w:rPr>
  </w:style>
  <w:style w:type="table" w:styleId="754">
    <w:name w:val="Table Grid Light"/>
    <w:next w:val="75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1"/>
    <w:next w:val="75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Plain Table 2"/>
    <w:next w:val="75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Plain Table 3"/>
    <w:next w:val="75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Plain Table 4"/>
    <w:next w:val="75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Plain Table 5"/>
    <w:next w:val="75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"/>
    <w:next w:val="76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1"/>
    <w:next w:val="76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 - Accent 2"/>
    <w:next w:val="76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1 Light - Accent 3"/>
    <w:next w:val="76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1 Light - Accent 4"/>
    <w:next w:val="76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1 Light - Accent 5"/>
    <w:next w:val="76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1 Light - Accent 6"/>
    <w:next w:val="76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"/>
    <w:next w:val="76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1"/>
    <w:next w:val="76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 - Accent 2"/>
    <w:next w:val="76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2 - Accent 3"/>
    <w:next w:val="77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2 - Accent 4"/>
    <w:next w:val="77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2 - Accent 5"/>
    <w:next w:val="77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2 - Accent 6"/>
    <w:next w:val="77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"/>
    <w:next w:val="77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1"/>
    <w:next w:val="77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 - Accent 2"/>
    <w:next w:val="77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3 - Accent 3"/>
    <w:next w:val="77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3 - Accent 4"/>
    <w:next w:val="77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3 - Accent 5"/>
    <w:next w:val="77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3 - Accent 6"/>
    <w:next w:val="78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"/>
    <w:next w:val="78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1"/>
    <w:next w:val="78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 - Accent 2"/>
    <w:next w:val="78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4 - Accent 3"/>
    <w:next w:val="78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4 - Accent 4"/>
    <w:next w:val="78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4 - Accent 5"/>
    <w:next w:val="78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4 - Accent 6"/>
    <w:next w:val="78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"/>
    <w:next w:val="78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- Accent 1"/>
    <w:next w:val="78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 - Accent 2"/>
    <w:next w:val="79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5 Dark - Accent 3"/>
    <w:next w:val="79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5 Dark- Accent 4"/>
    <w:next w:val="79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5 Dark - Accent 5"/>
    <w:next w:val="79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5 Dark - Accent 6"/>
    <w:next w:val="79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"/>
    <w:next w:val="79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1"/>
    <w:next w:val="79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 - Accent 2"/>
    <w:next w:val="79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6 Colorful - Accent 3"/>
    <w:next w:val="79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6 Colorful - Accent 4"/>
    <w:next w:val="79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6 Colorful - Accent 5"/>
    <w:next w:val="80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6 Colorful - Accent 6"/>
    <w:next w:val="80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"/>
    <w:next w:val="80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1"/>
    <w:next w:val="80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 - Accent 2"/>
    <w:next w:val="80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7 Colorful - Accent 3"/>
    <w:next w:val="80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7 Colorful - Accent 4"/>
    <w:next w:val="80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7 Colorful - Accent 5"/>
    <w:next w:val="80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7 Colorful - Accent 6"/>
    <w:next w:val="80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"/>
    <w:next w:val="80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1"/>
    <w:next w:val="81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- Accent 2"/>
    <w:next w:val="81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1 Light - Accent 3"/>
    <w:next w:val="81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1 Light - Accent 4"/>
    <w:next w:val="81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1 Light - Accent 5"/>
    <w:next w:val="81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1 Light - Accent 6"/>
    <w:next w:val="81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"/>
    <w:next w:val="81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1"/>
    <w:next w:val="81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- Accent 2"/>
    <w:next w:val="81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2 - Accent 3"/>
    <w:next w:val="81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2 - Accent 4"/>
    <w:next w:val="82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2 - Accent 5"/>
    <w:next w:val="82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2 - Accent 6"/>
    <w:next w:val="82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"/>
    <w:next w:val="82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1"/>
    <w:next w:val="82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 - Accent 2"/>
    <w:next w:val="82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3 - Accent 3"/>
    <w:next w:val="82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3 - Accent 4"/>
    <w:next w:val="82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3 - Accent 5"/>
    <w:next w:val="82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3 - Accent 6"/>
    <w:next w:val="82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"/>
    <w:next w:val="83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1"/>
    <w:next w:val="83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 - Accent 2"/>
    <w:next w:val="83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4 - Accent 3"/>
    <w:next w:val="83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4 - Accent 4"/>
    <w:next w:val="83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4 - Accent 5"/>
    <w:next w:val="83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4 - Accent 6"/>
    <w:next w:val="83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"/>
    <w:next w:val="83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1"/>
    <w:next w:val="83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 - Accent 2"/>
    <w:next w:val="83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5 Dark - Accent 3"/>
    <w:next w:val="84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5 Dark - Accent 4"/>
    <w:next w:val="84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5 Dark - Accent 5"/>
    <w:next w:val="84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5 Dark - Accent 6"/>
    <w:next w:val="84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"/>
    <w:next w:val="84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1"/>
    <w:next w:val="84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 - Accent 2"/>
    <w:next w:val="84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6 Colorful - Accent 3"/>
    <w:next w:val="84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6 Colorful - Accent 4"/>
    <w:next w:val="84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6 Colorful - Accent 5"/>
    <w:next w:val="84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6 Colorful - Accent 6"/>
    <w:next w:val="85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"/>
    <w:next w:val="85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1"/>
    <w:next w:val="85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 - Accent 2"/>
    <w:next w:val="85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7 Colorful - Accent 3"/>
    <w:next w:val="85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7 Colorful - Accent 4"/>
    <w:next w:val="85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7 Colorful - Accent 5"/>
    <w:next w:val="85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7 Colorful - Accent 6"/>
    <w:next w:val="85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"/>
    <w:next w:val="858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1"/>
    <w:next w:val="859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ned - Accent 2"/>
    <w:next w:val="860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ned - Accent 3"/>
    <w:next w:val="861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ned - Accent 4"/>
    <w:next w:val="862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ned - Accent 5"/>
    <w:next w:val="863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ned - Accent 6"/>
    <w:next w:val="864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"/>
    <w:next w:val="865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1"/>
    <w:next w:val="866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&amp; Lined - Accent 2"/>
    <w:next w:val="867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&amp; Lined - Accent 3"/>
    <w:next w:val="868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&amp; Lined - Accent 4"/>
    <w:next w:val="869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&amp; Lined - Accent 5"/>
    <w:next w:val="870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&amp; Lined - Accent 6"/>
    <w:next w:val="871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"/>
    <w:next w:val="87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1"/>
    <w:next w:val="87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- Accent 2"/>
    <w:next w:val="87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- Accent 3"/>
    <w:next w:val="87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- Accent 4"/>
    <w:next w:val="87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- Accent 5"/>
    <w:next w:val="87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- Accent 6"/>
    <w:next w:val="87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9">
    <w:name w:val="Текст сноски Знак"/>
    <w:next w:val="879"/>
    <w:link w:val="703"/>
    <w:semiHidden/>
    <w:pPr>
      <w:pBdr/>
      <w:spacing/>
      <w:ind/>
    </w:pPr>
    <w:rPr>
      <w:sz w:val="18"/>
      <w:lang w:bidi="ar-SA"/>
    </w:rPr>
  </w:style>
  <w:style w:type="character" w:styleId="880">
    <w:name w:val="Текст концевой сноски Знак"/>
    <w:next w:val="880"/>
    <w:link w:val="705"/>
    <w:semiHidden/>
    <w:pPr>
      <w:pBdr/>
      <w:spacing/>
      <w:ind/>
    </w:pPr>
    <w:rPr>
      <w:lang w:val="uk-UA" w:eastAsia="zh-CN" w:bidi="ar-SA"/>
    </w:rPr>
  </w:style>
  <w:style w:type="paragraph" w:styleId="881">
    <w:name w:val="Обычный1"/>
    <w:next w:val="881"/>
    <w:link w:val="68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character" w:styleId="882">
    <w:name w:val="Основной текст (2)"/>
    <w:basedOn w:val="683"/>
    <w:next w:val="882"/>
    <w:link w:val="682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8"/>
      <w:szCs w:val="28"/>
      <w:u w:val="none"/>
      <w:lang w:val="uk-UA" w:eastAsia="uk-UA" w:bidi="uk-UA"/>
    </w:rPr>
  </w:style>
  <w:style w:type="paragraph" w:styleId="883">
    <w:name w:val="Текст выноски"/>
    <w:basedOn w:val="682"/>
    <w:next w:val="883"/>
    <w:link w:val="884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884">
    <w:name w:val="Текст выноски Знак"/>
    <w:basedOn w:val="683"/>
    <w:next w:val="884"/>
    <w:link w:val="883"/>
    <w:semiHidden/>
    <w:pPr>
      <w:pBdr/>
      <w:spacing/>
      <w:ind/>
    </w:pPr>
    <w:rPr>
      <w:rFonts w:ascii="Tahoma" w:hAnsi="Tahoma" w:eastAsia="Times New Roman"/>
      <w:sz w:val="16"/>
      <w:szCs w:val="16"/>
      <w:lang w:val="uk-UA" w:eastAsia="ru-RU"/>
    </w:rPr>
  </w:style>
  <w:style w:type="character" w:styleId="885">
    <w:name w:val="rvts23"/>
    <w:basedOn w:val="683"/>
    <w:next w:val="885"/>
    <w:link w:val="682"/>
    <w:pPr>
      <w:pBdr/>
      <w:spacing/>
      <w:ind/>
    </w:pPr>
  </w:style>
  <w:style w:type="character" w:styleId="886">
    <w:name w:val="Без интервала Знак"/>
    <w:next w:val="886"/>
    <w:link w:val="694"/>
    <w:pPr>
      <w:pBdr/>
      <w:spacing/>
      <w:ind/>
    </w:pPr>
    <w:rPr>
      <w:sz w:val="22"/>
      <w:szCs w:val="22"/>
      <w:shd w:val="nil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IVYekymenko</dc:creator>
  <cp:lastModifiedBy>Єкименко Ірина Валеріївна</cp:lastModifiedBy>
  <cp:revision>6</cp:revision>
  <dcterms:created xsi:type="dcterms:W3CDTF">2024-11-26T09:45:00Z</dcterms:created>
  <dcterms:modified xsi:type="dcterms:W3CDTF">2024-12-12T13:05:57Z</dcterms:modified>
  <cp:version>786432</cp:version>
</cp:coreProperties>
</file>