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09 грудня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383</w:t>
      </w:r>
      <w:bookmarkStart w:id="0" w:name="_GoBack"/>
      <w:r/>
      <w:bookmarkEnd w:id="0"/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 та начальника відділу житлово-комунального господарства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підтвердження місця проживання малолітньої дитини для тимчасового виїзду  за межі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враховуючи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що виїзд за кордон планується 12 грудня 2024 року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 взяття на облік особи, що потребує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житла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для тимчасового проживання з фонду житла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призначеного для тимчасового проживання внутрішньо переміщених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осіб,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обмежений строк прийняття рішення щодо взяття на такий облік;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1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11 грудня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10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bookmarkStart w:id="2" w:name="_Hlk69281647"/>
      <w:r/>
      <w:bookmarkEnd w:id="2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929"/>
        <w:pBdr/>
        <w:spacing w:after="0" w:afterAutospacing="0" w:before="0" w:beforeAutospacing="0"/>
        <w:ind/>
        <w:jc w:val="both"/>
        <w:rPr/>
      </w:pPr>
      <w:r>
        <w:rPr>
          <w:sz w:val="28"/>
          <w:szCs w:val="28"/>
        </w:rPr>
        <w:t xml:space="preserve">      1) </w:t>
      </w:r>
      <w:r>
        <w:rPr>
          <w:bCs/>
          <w:color w:val="000000"/>
          <w:sz w:val="28"/>
          <w:szCs w:val="28"/>
        </w:rPr>
        <w:t xml:space="preserve">Про взяття на облік особи, що потребує житла для тимчасового проживання.</w:t>
      </w:r>
      <w:r/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Єкименко</w:t>
      </w:r>
      <w:r>
        <w:rPr>
          <w:rFonts w:ascii="Times New Roman" w:hAnsi="Times New Roman" w:cs="Times New Roman"/>
          <w:sz w:val="28"/>
          <w:szCs w:val="28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затвердження висновку Служби у справах дітей про підтвердження місця проживання малолітньої дитини для тимчасового виїзду її за межі України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Васильчук</w:t>
      </w:r>
      <w:r>
        <w:rPr>
          <w:rFonts w:ascii="Times New Roman" w:hAnsi="Times New Roman" w:cs="Times New Roman"/>
          <w:sz w:val="28"/>
          <w:szCs w:val="28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Героїв АТО, № 6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28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89103936"/>
      <w:docPartObj>
        <w:docPartGallery w:val="Page Numbers (Top of Page)"/>
        <w:docPartUnique w:val="true"/>
      </w:docPartObj>
      <w:rPr/>
    </w:sdtPr>
    <w:sdtContent>
      <w:p>
        <w:pPr>
          <w:pStyle w:val="93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/>
    </w:pPr>
    <w:r>
      <w:rPr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952375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color w:val="000000"/>
        <w:lang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852"/>
      </w:pPr>
      <w:rPr>
        <w:rFonts w:hint="default"/>
        <w:color w:val="000000"/>
        <w:sz w:val="28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70"/>
      </w:pPr>
      <w:rPr>
        <w:rFonts w:hint="default"/>
        <w:b w:val="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84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44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59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7">
    <w:name w:val="Heading 2 Char"/>
    <w:basedOn w:val="759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8">
    <w:name w:val="Heading 3 Char"/>
    <w:basedOn w:val="759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9">
    <w:name w:val="Heading 4 Char"/>
    <w:basedOn w:val="759"/>
    <w:link w:val="7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0">
    <w:name w:val="Heading 5 Char"/>
    <w:basedOn w:val="759"/>
    <w:link w:val="7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1">
    <w:name w:val="Heading 6 Char"/>
    <w:basedOn w:val="759"/>
    <w:link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2">
    <w:name w:val="Heading 7 Char"/>
    <w:basedOn w:val="759"/>
    <w:link w:val="7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3">
    <w:name w:val="Heading 8 Char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4">
    <w:name w:val="Heading 9 Char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>
    <w:name w:val="Title Char"/>
    <w:basedOn w:val="759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6">
    <w:name w:val="Subtitle Char"/>
    <w:basedOn w:val="759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7">
    <w:name w:val="Quote Char"/>
    <w:basedOn w:val="759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9">
    <w:name w:val="Intense Quote Char"/>
    <w:basedOn w:val="759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1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43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44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otnote Text Char"/>
    <w:basedOn w:val="759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747">
    <w:name w:val="Endnote Text Char"/>
    <w:basedOn w:val="759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748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 w:after="200" w:line="276" w:lineRule="auto"/>
      <w:ind/>
    </w:pPr>
  </w:style>
  <w:style w:type="paragraph" w:styleId="750">
    <w:name w:val="Heading 1"/>
    <w:basedOn w:val="749"/>
    <w:next w:val="749"/>
    <w:link w:val="76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Заголовок 1 Знак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49"/>
    <w:next w:val="749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59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9"/>
    <w:next w:val="749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59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9"/>
    <w:next w:val="749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9"/>
    <w:next w:val="749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59"/>
    <w:uiPriority w:val="99"/>
    <w:pPr>
      <w:pBdr/>
      <w:spacing/>
      <w:ind/>
    </w:pPr>
  </w:style>
  <w:style w:type="character" w:styleId="780" w:customStyle="1">
    <w:name w:val="Footer Char"/>
    <w:basedOn w:val="759"/>
    <w:uiPriority w:val="99"/>
    <w:pPr>
      <w:pBdr/>
      <w:spacing/>
      <w:ind/>
    </w:pPr>
  </w:style>
  <w:style w:type="paragraph" w:styleId="781">
    <w:name w:val="Caption"/>
    <w:basedOn w:val="749"/>
    <w:next w:val="749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2" w:customStyle="1">
    <w:name w:val="Caption Char"/>
    <w:uiPriority w:val="99"/>
    <w:pPr>
      <w:pBdr/>
      <w:spacing/>
      <w:ind/>
    </w:pPr>
  </w:style>
  <w:style w:type="table" w:styleId="783">
    <w:name w:val="Table Grid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0">
    <w:name w:val="footnote text"/>
    <w:basedOn w:val="749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 w:customStyle="1">
    <w:name w:val="Текст сноски Знак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749"/>
    <w:link w:val="9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4" w:customStyle="1">
    <w:name w:val="Текст концевой сноски Знак"/>
    <w:link w:val="913"/>
    <w:uiPriority w:val="99"/>
    <w:pPr>
      <w:pBdr/>
      <w:spacing/>
      <w:ind/>
    </w:pPr>
    <w:rPr>
      <w:sz w:val="20"/>
    </w:rPr>
  </w:style>
  <w:style w:type="character" w:styleId="915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916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17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18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19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20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1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2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3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24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749"/>
    <w:next w:val="749"/>
    <w:uiPriority w:val="99"/>
    <w:unhideWhenUsed/>
    <w:pPr>
      <w:pBdr/>
      <w:spacing w:after="0"/>
      <w:ind/>
    </w:pPr>
  </w:style>
  <w:style w:type="paragraph" w:styleId="927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28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929" w:customStyle="1">
    <w:name w:val="docdata"/>
    <w:basedOn w:val="74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0">
    <w:name w:val="Normal (Web)"/>
    <w:basedOn w:val="74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1" w:customStyle="1">
    <w:name w:val="1504"/>
    <w:basedOn w:val="759"/>
    <w:pPr>
      <w:pBdr/>
      <w:spacing/>
      <w:ind/>
    </w:pPr>
  </w:style>
  <w:style w:type="paragraph" w:styleId="93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3">
    <w:name w:val="Header"/>
    <w:basedOn w:val="749"/>
    <w:link w:val="93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4" w:customStyle="1">
    <w:name w:val="Верхний колонтитул Знак"/>
    <w:basedOn w:val="759"/>
    <w:link w:val="933"/>
    <w:uiPriority w:val="99"/>
    <w:pPr>
      <w:pBdr/>
      <w:spacing/>
      <w:ind/>
    </w:pPr>
  </w:style>
  <w:style w:type="paragraph" w:styleId="935">
    <w:name w:val="Footer"/>
    <w:basedOn w:val="749"/>
    <w:link w:val="936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6" w:customStyle="1">
    <w:name w:val="Нижний колонтитул Знак"/>
    <w:basedOn w:val="759"/>
    <w:link w:val="935"/>
    <w:uiPriority w:val="99"/>
    <w:pPr>
      <w:pBdr/>
      <w:spacing/>
      <w:ind/>
    </w:pPr>
  </w:style>
  <w:style w:type="character" w:styleId="937" w:customStyle="1">
    <w:name w:val="docy"/>
    <w:basedOn w:val="759"/>
    <w:pPr>
      <w:pBdr/>
      <w:spacing/>
      <w:ind/>
    </w:pPr>
  </w:style>
  <w:style w:type="paragraph" w:styleId="938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</w:rPr>
  </w:style>
  <w:style w:type="paragraph" w:styleId="939" w:customStyle="1">
    <w:name w:val="Обычный2"/>
    <w:link w:val="93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</w:rPr>
  </w:style>
  <w:style w:type="paragraph" w:styleId="940">
    <w:name w:val="Balloon Text"/>
    <w:basedOn w:val="749"/>
    <w:link w:val="94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1" w:customStyle="1">
    <w:name w:val="Текст выноски Знак"/>
    <w:basedOn w:val="759"/>
    <w:link w:val="94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7BE8054-90C7-4522-A0F7-8C76567F52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125</cp:revision>
  <dcterms:created xsi:type="dcterms:W3CDTF">2022-06-30T13:07:00Z</dcterms:created>
  <dcterms:modified xsi:type="dcterms:W3CDTF">2024-12-11T08:21:11Z</dcterms:modified>
</cp:coreProperties>
</file>