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ind w:firstLine="708" w:left="8496"/>
        <w:rPr>
          <w:rFonts w:ascii="Times New Roman" w:hAnsi="Times New Roman" w:cs="Times New Roman"/>
          <w:sz w:val="28"/>
          <w:szCs w:val="28"/>
        </w:rPr>
      </w:pPr>
      <w:r>
        <w:rPr>
          <w:rFonts w:ascii="Times New Roman" w:hAnsi="Times New Roman" w:cs="Times New Roman"/>
          <w:sz w:val="28"/>
          <w:szCs w:val="28"/>
        </w:rPr>
        <w:t xml:space="preserve">Додаток 1</w:t>
      </w:r>
      <w:r>
        <w:rPr>
          <w:rFonts w:ascii="Times New Roman" w:hAnsi="Times New Roman" w:cs="Times New Roman"/>
          <w:sz w:val="28"/>
          <w:szCs w:val="28"/>
        </w:rPr>
      </w:r>
      <w:r>
        <w:rPr>
          <w:rFonts w:ascii="Times New Roman" w:hAnsi="Times New Roman" w:cs="Times New Roman"/>
          <w:sz w:val="28"/>
          <w:szCs w:val="28"/>
        </w:rPr>
      </w:r>
    </w:p>
    <w:p>
      <w:pPr>
        <w:pBdr/>
        <w:spacing w:after="0"/>
        <w:ind w:left="9204"/>
        <w:rPr>
          <w:rFonts w:ascii="Times New Roman" w:hAnsi="Times New Roman" w:cs="Times New Roman"/>
          <w:sz w:val="28"/>
          <w:szCs w:val="28"/>
        </w:rPr>
      </w:pPr>
      <w:r>
        <w:rPr>
          <w:rFonts w:ascii="Times New Roman" w:hAnsi="Times New Roman" w:cs="Times New Roman"/>
          <w:sz w:val="28"/>
          <w:szCs w:val="28"/>
        </w:rPr>
        <w:t xml:space="preserve">до проєкту Програми охорони та збереження культурної спадщини на території Менської  міської територіальної громади на 2024-2027 роки</w:t>
      </w:r>
      <w:bookmarkStart w:id="0" w:name="_GoBack"/>
      <w:r/>
      <w:bookmarkEnd w:id="0"/>
      <w:r>
        <w:rPr>
          <w:rFonts w:ascii="Times New Roman" w:hAnsi="Times New Roman" w:cs="Times New Roman"/>
          <w:sz w:val="28"/>
          <w:szCs w:val="28"/>
        </w:rPr>
      </w:r>
      <w:r>
        <w:rPr>
          <w:rFonts w:ascii="Times New Roman" w:hAnsi="Times New Roman" w:cs="Times New Roman"/>
          <w:sz w:val="28"/>
          <w:szCs w:val="28"/>
        </w:rPr>
      </w:r>
    </w:p>
    <w:p>
      <w:pPr>
        <w:pBdr/>
        <w:spacing w:after="0"/>
        <w:ind w:left="9204"/>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ind/>
        <w:jc w:val="center"/>
        <w:rPr>
          <w:rFonts w:ascii="Times New Roman" w:hAnsi="Times New Roman" w:cs="Times New Roman"/>
          <w:b/>
          <w:sz w:val="28"/>
          <w:szCs w:val="28"/>
        </w:rPr>
      </w:pPr>
      <w:r>
        <w:rPr>
          <w:rFonts w:ascii="Times New Roman" w:hAnsi="Times New Roman" w:cs="Times New Roman"/>
          <w:b/>
          <w:sz w:val="28"/>
          <w:szCs w:val="28"/>
        </w:rPr>
        <w:t xml:space="preserve">Напрямки діяльності і заходи з реалізації Програми охорони та збереження культурної спадщини на</w:t>
      </w:r>
      <w:r>
        <w:rPr>
          <w:rFonts w:ascii="Times New Roman" w:hAnsi="Times New Roman" w:cs="Times New Roman"/>
          <w:b/>
          <w:sz w:val="28"/>
          <w:szCs w:val="28"/>
        </w:rPr>
      </w:r>
      <w:r>
        <w:rPr>
          <w:rFonts w:ascii="Times New Roman" w:hAnsi="Times New Roman" w:cs="Times New Roman"/>
          <w:b/>
          <w:sz w:val="28"/>
          <w:szCs w:val="28"/>
        </w:rPr>
      </w:r>
    </w:p>
    <w:p>
      <w:pPr>
        <w:pBdr/>
        <w:spacing w:after="0"/>
        <w:ind/>
        <w:jc w:val="center"/>
        <w:rPr>
          <w:rFonts w:ascii="Times New Roman" w:hAnsi="Times New Roman" w:cs="Times New Roman"/>
          <w:b/>
          <w:sz w:val="28"/>
          <w:szCs w:val="28"/>
        </w:rPr>
      </w:pPr>
      <w:r>
        <w:rPr>
          <w:rFonts w:ascii="Times New Roman" w:hAnsi="Times New Roman" w:cs="Times New Roman"/>
          <w:b/>
          <w:sz w:val="28"/>
          <w:szCs w:val="28"/>
        </w:rPr>
        <w:t xml:space="preserve">території Менської  міської територіальної громади на 2025-2027 роки</w:t>
      </w:r>
      <w:r>
        <w:rPr>
          <w:rFonts w:ascii="Times New Roman" w:hAnsi="Times New Roman" w:cs="Times New Roman"/>
          <w:b/>
          <w:sz w:val="28"/>
          <w:szCs w:val="28"/>
        </w:rPr>
      </w:r>
      <w:r>
        <w:rPr>
          <w:rFonts w:ascii="Times New Roman" w:hAnsi="Times New Roman" w:cs="Times New Roman"/>
          <w:b/>
          <w:sz w:val="28"/>
          <w:szCs w:val="28"/>
        </w:rPr>
      </w:r>
    </w:p>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bl>
      <w:tblPr>
        <w:tblW w:w="1545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1"/>
        <w:gridCol w:w="2408"/>
        <w:gridCol w:w="992"/>
        <w:gridCol w:w="1559"/>
        <w:gridCol w:w="1845"/>
        <w:gridCol w:w="992"/>
        <w:gridCol w:w="993"/>
        <w:gridCol w:w="992"/>
        <w:gridCol w:w="850"/>
        <w:gridCol w:w="2979"/>
      </w:tblGrid>
      <w:tr>
        <w:trPr>
          <w:trHeight w:val="220"/>
        </w:trPr>
        <w:tc>
          <w:tcPr>
            <w:shd w:val="clear" w:color="auto" w:fill="auto"/>
            <w:tcBorders/>
            <w:tcW w:w="1841" w:type="dxa"/>
            <w:vMerge w:val="restart"/>
            <w:textDirection w:val="lrTb"/>
            <w:noWrap w:val="false"/>
          </w:tcPr>
          <w:p>
            <w:pPr>
              <w:pBdr/>
              <w:spacing/>
              <w:ind/>
              <w:rPr>
                <w:rFonts w:ascii="Times New Roman" w:hAnsi="Times New Roman" w:cs="Times New Roman"/>
              </w:rPr>
            </w:pPr>
            <w:r>
              <w:rPr>
                <w:rFonts w:ascii="Times New Roman" w:hAnsi="Times New Roman" w:cs="Times New Roman"/>
                <w:bCs/>
                <w:lang w:bidi="uk-UA"/>
              </w:rPr>
              <w:t xml:space="preserve">Завдання</w:t>
            </w:r>
            <w:r>
              <w:rPr>
                <w:rFonts w:ascii="Times New Roman" w:hAnsi="Times New Roman" w:cs="Times New Roman"/>
              </w:rPr>
            </w:r>
            <w:r>
              <w:rPr>
                <w:rFonts w:ascii="Times New Roman" w:hAnsi="Times New Roman" w:cs="Times New Roman"/>
              </w:rPr>
            </w:r>
          </w:p>
        </w:tc>
        <w:tc>
          <w:tcPr>
            <w:shd w:val="clear" w:color="auto" w:fill="auto"/>
            <w:tcBorders/>
            <w:tcW w:w="2408" w:type="dxa"/>
            <w:vMerge w:val="restart"/>
            <w:textDirection w:val="lrTb"/>
            <w:noWrap w:val="false"/>
          </w:tcPr>
          <w:p>
            <w:pPr>
              <w:pBdr/>
              <w:spacing/>
              <w:ind/>
              <w:rPr>
                <w:rFonts w:ascii="Times New Roman" w:hAnsi="Times New Roman" w:cs="Times New Roman"/>
              </w:rPr>
            </w:pPr>
            <w:r>
              <w:rPr>
                <w:rFonts w:ascii="Times New Roman" w:hAnsi="Times New Roman" w:cs="Times New Roman"/>
                <w:bCs/>
                <w:lang w:bidi="uk-UA"/>
              </w:rPr>
              <w:t xml:space="preserve">Зміст заходів</w:t>
            </w:r>
            <w:r>
              <w:rPr>
                <w:rFonts w:ascii="Times New Roman" w:hAnsi="Times New Roman" w:cs="Times New Roman"/>
              </w:rPr>
            </w:r>
            <w:r>
              <w:rPr>
                <w:rFonts w:ascii="Times New Roman" w:hAnsi="Times New Roman" w:cs="Times New Roman"/>
              </w:rPr>
            </w:r>
          </w:p>
        </w:tc>
        <w:tc>
          <w:tcPr>
            <w:shd w:val="clear" w:color="auto" w:fill="auto"/>
            <w:tcBorders/>
            <w:tcW w:w="992" w:type="dxa"/>
            <w:vMerge w:val="restart"/>
            <w:textDirection w:val="lrTb"/>
            <w:noWrap w:val="false"/>
          </w:tcPr>
          <w:p>
            <w:pPr>
              <w:pBdr/>
              <w:spacing/>
              <w:ind/>
              <w:rPr>
                <w:rFonts w:ascii="Times New Roman" w:hAnsi="Times New Roman" w:cs="Times New Roman"/>
              </w:rPr>
            </w:pPr>
            <w:r>
              <w:rPr>
                <w:rFonts w:ascii="Times New Roman" w:hAnsi="Times New Roman" w:cs="Times New Roman"/>
                <w:bCs/>
                <w:lang w:bidi="uk-UA"/>
              </w:rPr>
              <w:t xml:space="preserve">Термін вико </w:t>
            </w:r>
            <w:r>
              <w:rPr>
                <w:rFonts w:ascii="Times New Roman" w:hAnsi="Times New Roman" w:cs="Times New Roman"/>
                <w:bCs/>
                <w:lang w:bidi="uk-UA"/>
              </w:rPr>
              <w:t xml:space="preserve">нання</w:t>
            </w:r>
            <w:r>
              <w:rPr>
                <w:rFonts w:ascii="Times New Roman" w:hAnsi="Times New Roman" w:cs="Times New Roman"/>
              </w:rPr>
            </w:r>
            <w:r>
              <w:rPr>
                <w:rFonts w:ascii="Times New Roman" w:hAnsi="Times New Roman" w:cs="Times New Roman"/>
              </w:rPr>
            </w:r>
          </w:p>
        </w:tc>
        <w:tc>
          <w:tcPr>
            <w:shd w:val="clear" w:color="auto" w:fill="auto"/>
            <w:tcBorders/>
            <w:tcW w:w="1559" w:type="dxa"/>
            <w:vMerge w:val="restart"/>
            <w:textDirection w:val="lrTb"/>
            <w:noWrap w:val="false"/>
          </w:tcPr>
          <w:p>
            <w:pPr>
              <w:pBdr/>
              <w:spacing/>
              <w:ind/>
              <w:rPr>
                <w:rFonts w:ascii="Times New Roman" w:hAnsi="Times New Roman" w:cs="Times New Roman"/>
              </w:rPr>
            </w:pPr>
            <w:r>
              <w:rPr>
                <w:rFonts w:ascii="Times New Roman" w:hAnsi="Times New Roman" w:cs="Times New Roman"/>
                <w:bCs/>
                <w:lang w:bidi="uk-UA"/>
              </w:rPr>
              <w:t xml:space="preserve">Виконавці</w:t>
            </w:r>
            <w:r>
              <w:rPr>
                <w:rFonts w:ascii="Times New Roman" w:hAnsi="Times New Roman" w:cs="Times New Roman"/>
              </w:rPr>
            </w:r>
            <w:r>
              <w:rPr>
                <w:rFonts w:ascii="Times New Roman" w:hAnsi="Times New Roman" w:cs="Times New Roman"/>
              </w:rPr>
            </w:r>
          </w:p>
        </w:tc>
        <w:tc>
          <w:tcPr>
            <w:shd w:val="clear" w:color="auto" w:fill="auto"/>
            <w:tcBorders/>
            <w:tcW w:w="1845" w:type="dxa"/>
            <w:vMerge w:val="restart"/>
            <w:textDirection w:val="lrTb"/>
            <w:noWrap w:val="false"/>
          </w:tcPr>
          <w:p>
            <w:pPr>
              <w:pBdr/>
              <w:spacing/>
              <w:ind/>
              <w:rPr>
                <w:rFonts w:ascii="Times New Roman" w:hAnsi="Times New Roman" w:cs="Times New Roman"/>
              </w:rPr>
            </w:pPr>
            <w:r>
              <w:rPr>
                <w:rFonts w:ascii="Times New Roman" w:hAnsi="Times New Roman" w:cs="Times New Roman"/>
                <w:bCs/>
                <w:lang w:bidi="uk-UA"/>
              </w:rPr>
              <w:t xml:space="preserve">Джерела фінансування</w:t>
            </w:r>
            <w:r>
              <w:rPr>
                <w:rFonts w:ascii="Times New Roman" w:hAnsi="Times New Roman" w:cs="Times New Roman"/>
              </w:rPr>
            </w:r>
            <w:r>
              <w:rPr>
                <w:rFonts w:ascii="Times New Roman" w:hAnsi="Times New Roman" w:cs="Times New Roman"/>
              </w:rPr>
            </w:r>
          </w:p>
        </w:tc>
        <w:tc>
          <w:tcPr>
            <w:gridSpan w:val="4"/>
            <w:shd w:val="clear" w:color="auto" w:fill="auto"/>
            <w:tcBorders/>
            <w:tcW w:w="3827" w:type="dxa"/>
            <w:textDirection w:val="lrTb"/>
            <w:noWrap w:val="false"/>
          </w:tcPr>
          <w:p>
            <w:pPr>
              <w:pBdr/>
              <w:spacing/>
              <w:ind/>
              <w:rPr>
                <w:rFonts w:ascii="Times New Roman" w:hAnsi="Times New Roman" w:cs="Times New Roman"/>
              </w:rPr>
            </w:pPr>
            <w:r>
              <w:rPr>
                <w:rFonts w:ascii="Times New Roman" w:hAnsi="Times New Roman" w:cs="Times New Roman"/>
              </w:rPr>
              <w:t xml:space="preserve">Обсяги фінансування по роках, </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тис. грн</w:t>
            </w:r>
            <w:r>
              <w:rPr>
                <w:rFonts w:ascii="Times New Roman" w:hAnsi="Times New Roman" w:cs="Times New Roman"/>
              </w:rPr>
            </w:r>
            <w:r>
              <w:rPr>
                <w:rFonts w:ascii="Times New Roman" w:hAnsi="Times New Roman" w:cs="Times New Roman"/>
              </w:rPr>
            </w:r>
          </w:p>
        </w:tc>
        <w:tc>
          <w:tcPr>
            <w:shd w:val="clear" w:color="auto" w:fill="auto"/>
            <w:tcBorders/>
            <w:tcW w:w="2979" w:type="dxa"/>
            <w:vMerge w:val="restart"/>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bCs/>
                <w:lang w:bidi="uk-UA"/>
              </w:rPr>
              <w:t xml:space="preserve">Очікуваний результат</w:t>
            </w:r>
            <w:r>
              <w:rPr>
                <w:rFonts w:ascii="Times New Roman" w:hAnsi="Times New Roman" w:cs="Times New Roman"/>
              </w:rPr>
            </w:r>
            <w:r>
              <w:rPr>
                <w:rFonts w:ascii="Times New Roman" w:hAnsi="Times New Roman" w:cs="Times New Roman"/>
              </w:rPr>
            </w:r>
          </w:p>
        </w:tc>
      </w:tr>
      <w:tr>
        <w:trPr>
          <w:trHeight w:val="451"/>
        </w:trPr>
        <w:tc>
          <w:tcPr>
            <w:shd w:val="clear" w:color="auto" w:fill="auto"/>
            <w:tcBorders/>
            <w:tcW w:w="1841" w:type="dxa"/>
            <w:vMerge w:val="continue"/>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2408" w:type="dxa"/>
            <w:vMerge w:val="continue"/>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992" w:type="dxa"/>
            <w:vMerge w:val="continue"/>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1559" w:type="dxa"/>
            <w:vMerge w:val="continue"/>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1845" w:type="dxa"/>
            <w:vMerge w:val="continue"/>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bCs/>
                <w:lang w:bidi="uk-UA"/>
              </w:rPr>
            </w:pPr>
            <w:r>
              <w:rPr>
                <w:rFonts w:ascii="Times New Roman" w:hAnsi="Times New Roman" w:cs="Times New Roman"/>
                <w:bCs/>
                <w:lang w:bidi="uk-UA"/>
              </w:rPr>
              <w:t xml:space="preserve">2025</w:t>
            </w:r>
            <w:r>
              <w:rPr>
                <w:rFonts w:ascii="Times New Roman" w:hAnsi="Times New Roman" w:cs="Times New Roman"/>
                <w:bCs/>
                <w:lang w:bidi="uk-UA"/>
              </w:rPr>
            </w:r>
            <w:r>
              <w:rPr>
                <w:rFonts w:ascii="Times New Roman" w:hAnsi="Times New Roman" w:cs="Times New Roman"/>
                <w:bCs/>
                <w:lang w:bidi="uk-UA"/>
              </w:rPr>
            </w:r>
          </w:p>
          <w:p>
            <w:pPr>
              <w:pBdr/>
              <w:spacing/>
              <w:ind/>
              <w:rPr>
                <w:rFonts w:ascii="Times New Roman" w:hAnsi="Times New Roman" w:cs="Times New Roman"/>
              </w:rPr>
            </w:pPr>
            <w:r>
              <w:rPr>
                <w:rFonts w:ascii="Times New Roman" w:hAnsi="Times New Roman" w:cs="Times New Roman"/>
                <w:bCs/>
                <w:lang w:bidi="uk-UA"/>
              </w:rPr>
              <w:t xml:space="preserve"> рік</w:t>
            </w:r>
            <w:r>
              <w:rPr>
                <w:rFonts w:ascii="Times New Roman" w:hAnsi="Times New Roman" w:cs="Times New Roman"/>
              </w:rPr>
            </w:r>
            <w:r>
              <w:rPr>
                <w:rFonts w:ascii="Times New Roman" w:hAnsi="Times New Roman" w:cs="Times New Roman"/>
              </w:rPr>
            </w:r>
          </w:p>
        </w:tc>
        <w:tc>
          <w:tcPr>
            <w:shd w:val="clear" w:color="auto" w:fill="auto"/>
            <w:tcBorders/>
            <w:tcW w:w="993" w:type="dxa"/>
            <w:textDirection w:val="lrTb"/>
            <w:noWrap w:val="false"/>
          </w:tcPr>
          <w:p>
            <w:pPr>
              <w:pBdr/>
              <w:spacing/>
              <w:ind/>
              <w:rPr>
                <w:rFonts w:ascii="Times New Roman" w:hAnsi="Times New Roman" w:cs="Times New Roman"/>
                <w:bCs/>
                <w:lang w:bidi="uk-UA"/>
              </w:rPr>
            </w:pPr>
            <w:r>
              <w:rPr>
                <w:rFonts w:ascii="Times New Roman" w:hAnsi="Times New Roman" w:cs="Times New Roman"/>
                <w:bCs/>
                <w:lang w:bidi="uk-UA"/>
              </w:rPr>
              <w:t xml:space="preserve">2026</w:t>
            </w:r>
            <w:r>
              <w:rPr>
                <w:rFonts w:ascii="Times New Roman" w:hAnsi="Times New Roman" w:cs="Times New Roman"/>
                <w:bCs/>
                <w:lang w:bidi="uk-UA"/>
              </w:rPr>
            </w:r>
            <w:r>
              <w:rPr>
                <w:rFonts w:ascii="Times New Roman" w:hAnsi="Times New Roman" w:cs="Times New Roman"/>
                <w:bCs/>
                <w:lang w:bidi="uk-UA"/>
              </w:rPr>
            </w:r>
          </w:p>
          <w:p>
            <w:pPr>
              <w:pBdr/>
              <w:spacing/>
              <w:ind/>
              <w:rPr>
                <w:rFonts w:ascii="Times New Roman" w:hAnsi="Times New Roman" w:cs="Times New Roman"/>
              </w:rPr>
            </w:pPr>
            <w:r>
              <w:rPr>
                <w:rFonts w:ascii="Times New Roman" w:hAnsi="Times New Roman" w:cs="Times New Roman"/>
                <w:bCs/>
                <w:lang w:bidi="uk-UA"/>
              </w:rPr>
              <w:t xml:space="preserve"> рік</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bCs/>
                <w:lang w:bidi="uk-UA"/>
              </w:rPr>
            </w:pPr>
            <w:r>
              <w:rPr>
                <w:rFonts w:ascii="Times New Roman" w:hAnsi="Times New Roman" w:cs="Times New Roman"/>
                <w:bCs/>
                <w:lang w:bidi="uk-UA"/>
              </w:rPr>
              <w:t xml:space="preserve">2027</w:t>
            </w:r>
            <w:r>
              <w:rPr>
                <w:rFonts w:ascii="Times New Roman" w:hAnsi="Times New Roman" w:cs="Times New Roman"/>
                <w:bCs/>
                <w:lang w:bidi="uk-UA"/>
              </w:rPr>
            </w:r>
            <w:r>
              <w:rPr>
                <w:rFonts w:ascii="Times New Roman" w:hAnsi="Times New Roman" w:cs="Times New Roman"/>
                <w:bCs/>
                <w:lang w:bidi="uk-UA"/>
              </w:rPr>
            </w:r>
          </w:p>
          <w:p>
            <w:pPr>
              <w:pBdr/>
              <w:spacing/>
              <w:ind/>
              <w:rPr>
                <w:rFonts w:ascii="Times New Roman" w:hAnsi="Times New Roman" w:cs="Times New Roman"/>
                <w:bCs/>
                <w:lang w:bidi="uk-UA"/>
              </w:rPr>
            </w:pPr>
            <w:r>
              <w:rPr>
                <w:rFonts w:ascii="Times New Roman" w:hAnsi="Times New Roman" w:cs="Times New Roman"/>
                <w:bCs/>
                <w:lang w:bidi="uk-UA"/>
              </w:rPr>
              <w:t xml:space="preserve"> рік</w:t>
            </w:r>
            <w:r>
              <w:rPr>
                <w:rFonts w:ascii="Times New Roman" w:hAnsi="Times New Roman" w:cs="Times New Roman"/>
                <w:bCs/>
                <w:lang w:bidi="uk-UA"/>
              </w:rPr>
            </w:r>
            <w:r>
              <w:rPr>
                <w:rFonts w:ascii="Times New Roman" w:hAnsi="Times New Roman" w:cs="Times New Roman"/>
                <w:bCs/>
                <w:lang w:bidi="uk-UA"/>
              </w:rPr>
            </w:r>
          </w:p>
        </w:tc>
        <w:tc>
          <w:tcPr>
            <w:shd w:val="clear" w:color="auto" w:fill="auto"/>
            <w:tcBorders/>
            <w:tcW w:w="850" w:type="dxa"/>
            <w:textDirection w:val="lrTb"/>
            <w:noWrap w:val="false"/>
          </w:tcPr>
          <w:p>
            <w:pPr>
              <w:pBdr/>
              <w:spacing/>
              <w:ind/>
              <w:rPr>
                <w:rFonts w:ascii="Times New Roman" w:hAnsi="Times New Roman" w:cs="Times New Roman"/>
              </w:rPr>
            </w:pPr>
            <w:r>
              <w:rPr>
                <w:rFonts w:ascii="Times New Roman" w:hAnsi="Times New Roman" w:cs="Times New Roman"/>
                <w:bCs/>
                <w:lang w:bidi="uk-UA"/>
              </w:rPr>
              <w:t xml:space="preserve">Всього</w:t>
            </w:r>
            <w:r>
              <w:rPr>
                <w:rFonts w:ascii="Times New Roman" w:hAnsi="Times New Roman" w:cs="Times New Roman"/>
              </w:rPr>
            </w:r>
            <w:r>
              <w:rPr>
                <w:rFonts w:ascii="Times New Roman" w:hAnsi="Times New Roman" w:cs="Times New Roman"/>
              </w:rPr>
            </w:r>
          </w:p>
        </w:tc>
        <w:tc>
          <w:tcPr>
            <w:shd w:val="clear" w:color="auto" w:fill="auto"/>
            <w:tcBorders/>
            <w:tcW w:w="2979" w:type="dxa"/>
            <w:vMerge w:val="continue"/>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r>
      <w:tr>
        <w:trPr>
          <w:trHeight w:val="384"/>
        </w:trPr>
        <w:tc>
          <w:tcPr>
            <w:shd w:val="clear" w:color="auto" w:fill="auto"/>
            <w:tcBorders/>
            <w:tcW w:w="1841" w:type="dxa"/>
            <w:vAlign w:val="center"/>
            <w:textDirection w:val="lrTb"/>
            <w:noWrap w:val="false"/>
          </w:tcPr>
          <w:p>
            <w:pPr>
              <w:pBdr/>
              <w:spacing/>
              <w:ind/>
              <w:jc w:val="center"/>
              <w:rPr>
                <w:rFonts w:ascii="Times New Roman" w:hAnsi="Times New Roman" w:cs="Times New Roman"/>
                <w:b w:val="0"/>
              </w:rPr>
            </w:pPr>
            <w:r>
              <w:rPr>
                <w:rFonts w:ascii="Times New Roman" w:hAnsi="Times New Roman" w:cs="Times New Roman"/>
                <w:b w:val="0"/>
                <w:bCs/>
                <w:lang w:bidi="uk-UA"/>
              </w:rPr>
              <w:t xml:space="preserve">1</w:t>
            </w:r>
            <w:r>
              <w:rPr>
                <w:rFonts w:ascii="Times New Roman" w:hAnsi="Times New Roman" w:cs="Times New Roman"/>
                <w:b w:val="0"/>
              </w:rPr>
            </w:r>
            <w:r>
              <w:rPr>
                <w:rFonts w:ascii="Times New Roman" w:hAnsi="Times New Roman" w:cs="Times New Roman"/>
                <w:b w:val="0"/>
              </w:rPr>
            </w:r>
          </w:p>
        </w:tc>
        <w:tc>
          <w:tcPr>
            <w:shd w:val="clear" w:color="auto" w:fill="auto"/>
            <w:tcBorders/>
            <w:tcW w:w="2408" w:type="dxa"/>
            <w:vAlign w:val="center"/>
            <w:textDirection w:val="lrTb"/>
            <w:noWrap w:val="false"/>
          </w:tcPr>
          <w:p>
            <w:pPr>
              <w:pBdr/>
              <w:spacing/>
              <w:ind/>
              <w:jc w:val="center"/>
              <w:rPr>
                <w:rFonts w:ascii="Times New Roman" w:hAnsi="Times New Roman" w:cs="Times New Roman"/>
                <w:b w:val="0"/>
              </w:rPr>
            </w:pPr>
            <w:r>
              <w:rPr>
                <w:rFonts w:ascii="Times New Roman" w:hAnsi="Times New Roman" w:cs="Times New Roman"/>
                <w:b w:val="0"/>
                <w:bCs/>
                <w:lang w:bidi="uk-UA"/>
              </w:rPr>
              <w:t xml:space="preserve">2</w:t>
            </w:r>
            <w:r>
              <w:rPr>
                <w:rFonts w:ascii="Times New Roman" w:hAnsi="Times New Roman" w:cs="Times New Roman"/>
                <w:b w:val="0"/>
              </w:rPr>
            </w:r>
            <w:r>
              <w:rPr>
                <w:rFonts w:ascii="Times New Roman" w:hAnsi="Times New Roman" w:cs="Times New Roman"/>
                <w:b w:val="0"/>
              </w:rPr>
            </w:r>
          </w:p>
        </w:tc>
        <w:tc>
          <w:tcPr>
            <w:shd w:val="clear" w:color="auto" w:fill="auto"/>
            <w:tcBorders/>
            <w:tcW w:w="992" w:type="dxa"/>
            <w:vAlign w:val="center"/>
            <w:textDirection w:val="lrTb"/>
            <w:noWrap w:val="false"/>
          </w:tcPr>
          <w:p>
            <w:pPr>
              <w:pBdr/>
              <w:spacing/>
              <w:ind/>
              <w:jc w:val="center"/>
              <w:rPr>
                <w:rFonts w:ascii="Times New Roman" w:hAnsi="Times New Roman" w:cs="Times New Roman"/>
                <w:b w:val="0"/>
              </w:rPr>
            </w:pPr>
            <w:r>
              <w:rPr>
                <w:rFonts w:ascii="Times New Roman" w:hAnsi="Times New Roman" w:cs="Times New Roman"/>
                <w:b w:val="0"/>
              </w:rPr>
              <w:t xml:space="preserve">3</w:t>
            </w:r>
            <w:r>
              <w:rPr>
                <w:rFonts w:ascii="Times New Roman" w:hAnsi="Times New Roman" w:cs="Times New Roman"/>
                <w:b w:val="0"/>
              </w:rPr>
            </w:r>
            <w:r>
              <w:rPr>
                <w:rFonts w:ascii="Times New Roman" w:hAnsi="Times New Roman" w:cs="Times New Roman"/>
                <w:b w:val="0"/>
              </w:rPr>
            </w:r>
          </w:p>
        </w:tc>
        <w:tc>
          <w:tcPr>
            <w:shd w:val="clear" w:color="auto" w:fill="auto"/>
            <w:tcBorders/>
            <w:tcW w:w="1559" w:type="dxa"/>
            <w:vAlign w:val="center"/>
            <w:textDirection w:val="lrTb"/>
            <w:noWrap w:val="false"/>
          </w:tcPr>
          <w:p>
            <w:pPr>
              <w:pBdr/>
              <w:spacing/>
              <w:ind/>
              <w:jc w:val="center"/>
              <w:rPr>
                <w:rFonts w:ascii="Times New Roman" w:hAnsi="Times New Roman" w:cs="Times New Roman"/>
                <w:b w:val="0"/>
              </w:rPr>
            </w:pPr>
            <w:r>
              <w:rPr>
                <w:rFonts w:ascii="Times New Roman" w:hAnsi="Times New Roman" w:cs="Times New Roman"/>
                <w:b w:val="0"/>
              </w:rPr>
              <w:t xml:space="preserve">4</w:t>
            </w:r>
            <w:r>
              <w:rPr>
                <w:rFonts w:ascii="Times New Roman" w:hAnsi="Times New Roman" w:cs="Times New Roman"/>
                <w:b w:val="0"/>
              </w:rPr>
            </w:r>
            <w:r>
              <w:rPr>
                <w:rFonts w:ascii="Times New Roman" w:hAnsi="Times New Roman" w:cs="Times New Roman"/>
                <w:b w:val="0"/>
              </w:rPr>
            </w:r>
          </w:p>
        </w:tc>
        <w:tc>
          <w:tcPr>
            <w:shd w:val="clear" w:color="auto" w:fill="auto"/>
            <w:tcBorders/>
            <w:tcW w:w="1845" w:type="dxa"/>
            <w:vAlign w:val="center"/>
            <w:textDirection w:val="lrTb"/>
            <w:noWrap w:val="false"/>
          </w:tcPr>
          <w:p>
            <w:pPr>
              <w:pBdr/>
              <w:spacing/>
              <w:ind/>
              <w:jc w:val="center"/>
              <w:rPr>
                <w:rFonts w:ascii="Times New Roman" w:hAnsi="Times New Roman" w:cs="Times New Roman"/>
                <w:b w:val="0"/>
              </w:rPr>
            </w:pPr>
            <w:r>
              <w:rPr>
                <w:rFonts w:ascii="Times New Roman" w:hAnsi="Times New Roman" w:cs="Times New Roman"/>
                <w:b w:val="0"/>
              </w:rPr>
              <w:t xml:space="preserve">5</w:t>
            </w:r>
            <w:r>
              <w:rPr>
                <w:rFonts w:ascii="Times New Roman" w:hAnsi="Times New Roman" w:cs="Times New Roman"/>
                <w:b w:val="0"/>
              </w:rPr>
            </w:r>
            <w:r>
              <w:rPr>
                <w:rFonts w:ascii="Times New Roman" w:hAnsi="Times New Roman" w:cs="Times New Roman"/>
                <w:b w:val="0"/>
              </w:rPr>
            </w:r>
          </w:p>
        </w:tc>
        <w:tc>
          <w:tcPr>
            <w:shd w:val="clear" w:color="auto" w:fill="auto"/>
            <w:tcBorders/>
            <w:tcW w:w="992" w:type="dxa"/>
            <w:vAlign w:val="center"/>
            <w:textDirection w:val="lrTb"/>
            <w:noWrap w:val="false"/>
          </w:tcPr>
          <w:p>
            <w:pPr>
              <w:pBdr/>
              <w:spacing/>
              <w:ind/>
              <w:jc w:val="center"/>
              <w:rPr>
                <w:rFonts w:ascii="Times New Roman" w:hAnsi="Times New Roman" w:cs="Times New Roman"/>
                <w:b w:val="0"/>
              </w:rPr>
            </w:pPr>
            <w:r>
              <w:rPr>
                <w:rFonts w:ascii="Times New Roman" w:hAnsi="Times New Roman" w:cs="Times New Roman"/>
                <w:b w:val="0"/>
              </w:rPr>
              <w:t xml:space="preserve">6</w:t>
            </w:r>
            <w:r>
              <w:rPr>
                <w:rFonts w:ascii="Times New Roman" w:hAnsi="Times New Roman" w:cs="Times New Roman"/>
                <w:b w:val="0"/>
              </w:rPr>
            </w:r>
            <w:r>
              <w:rPr>
                <w:rFonts w:ascii="Times New Roman" w:hAnsi="Times New Roman" w:cs="Times New Roman"/>
                <w:b w:val="0"/>
              </w:rPr>
            </w:r>
          </w:p>
        </w:tc>
        <w:tc>
          <w:tcPr>
            <w:shd w:val="clear" w:color="auto" w:fill="auto"/>
            <w:tcBorders/>
            <w:tcW w:w="993" w:type="dxa"/>
            <w:vAlign w:val="center"/>
            <w:textDirection w:val="lrTb"/>
            <w:noWrap w:val="false"/>
          </w:tcPr>
          <w:p>
            <w:pPr>
              <w:pBdr/>
              <w:spacing/>
              <w:ind/>
              <w:jc w:val="center"/>
              <w:rPr>
                <w:rFonts w:ascii="Times New Roman" w:hAnsi="Times New Roman" w:cs="Times New Roman"/>
                <w:b w:val="0"/>
              </w:rPr>
            </w:pPr>
            <w:r>
              <w:rPr>
                <w:rFonts w:ascii="Times New Roman" w:hAnsi="Times New Roman" w:cs="Times New Roman"/>
                <w:b w:val="0"/>
              </w:rPr>
              <w:t xml:space="preserve">7</w:t>
            </w:r>
            <w:r>
              <w:rPr>
                <w:rFonts w:ascii="Times New Roman" w:hAnsi="Times New Roman" w:cs="Times New Roman"/>
                <w:b w:val="0"/>
              </w:rPr>
            </w:r>
            <w:r>
              <w:rPr>
                <w:rFonts w:ascii="Times New Roman" w:hAnsi="Times New Roman" w:cs="Times New Roman"/>
                <w:b w:val="0"/>
              </w:rPr>
            </w:r>
          </w:p>
        </w:tc>
        <w:tc>
          <w:tcPr>
            <w:shd w:val="clear" w:color="auto" w:fill="auto"/>
            <w:tcBorders/>
            <w:tcW w:w="992" w:type="dxa"/>
            <w:vAlign w:val="center"/>
            <w:textDirection w:val="lrTb"/>
            <w:noWrap w:val="false"/>
          </w:tcPr>
          <w:p>
            <w:pPr>
              <w:pBdr/>
              <w:spacing/>
              <w:ind/>
              <w:jc w:val="center"/>
              <w:rPr>
                <w:rFonts w:ascii="Times New Roman" w:hAnsi="Times New Roman" w:cs="Times New Roman"/>
                <w:b w:val="0"/>
              </w:rPr>
            </w:pPr>
            <w:r>
              <w:rPr>
                <w:rFonts w:ascii="Times New Roman" w:hAnsi="Times New Roman" w:cs="Times New Roman"/>
                <w:b w:val="0"/>
              </w:rPr>
              <w:t xml:space="preserve">8</w:t>
            </w:r>
            <w:r>
              <w:rPr>
                <w:rFonts w:ascii="Times New Roman" w:hAnsi="Times New Roman" w:cs="Times New Roman"/>
                <w:b w:val="0"/>
              </w:rPr>
            </w:r>
            <w:r>
              <w:rPr>
                <w:rFonts w:ascii="Times New Roman" w:hAnsi="Times New Roman" w:cs="Times New Roman"/>
                <w:b w:val="0"/>
              </w:rPr>
            </w:r>
          </w:p>
        </w:tc>
        <w:tc>
          <w:tcPr>
            <w:shd w:val="clear" w:color="auto" w:fill="auto"/>
            <w:tcBorders/>
            <w:tcW w:w="850" w:type="dxa"/>
            <w:vAlign w:val="center"/>
            <w:textDirection w:val="lrTb"/>
            <w:noWrap w:val="false"/>
          </w:tcPr>
          <w:p>
            <w:pPr>
              <w:pBdr/>
              <w:spacing/>
              <w:ind/>
              <w:jc w:val="center"/>
              <w:rPr>
                <w:rFonts w:ascii="Times New Roman" w:hAnsi="Times New Roman" w:cs="Times New Roman"/>
                <w:b w:val="0"/>
                <w:bCs/>
              </w:rPr>
            </w:pPr>
            <w:r>
              <w:rPr>
                <w:rFonts w:ascii="Times New Roman" w:hAnsi="Times New Roman" w:cs="Times New Roman"/>
                <w:b w:val="0"/>
                <w:bCs/>
                <w:lang w:bidi="uk-UA"/>
              </w:rPr>
              <w:t xml:space="preserve">9</w:t>
            </w:r>
            <w:r>
              <w:rPr>
                <w:rFonts w:ascii="Times New Roman" w:hAnsi="Times New Roman" w:cs="Times New Roman"/>
                <w:b w:val="0"/>
                <w:bCs/>
              </w:rPr>
            </w:r>
            <w:r>
              <w:rPr>
                <w:rFonts w:ascii="Times New Roman" w:hAnsi="Times New Roman" w:cs="Times New Roman"/>
                <w:b w:val="0"/>
                <w:bCs/>
              </w:rPr>
            </w:r>
          </w:p>
        </w:tc>
        <w:tc>
          <w:tcPr>
            <w:shd w:val="clear" w:color="auto" w:fill="auto"/>
            <w:tcBorders/>
            <w:tcW w:w="2979" w:type="dxa"/>
            <w:vAlign w:val="center"/>
            <w:textDirection w:val="lrTb"/>
            <w:noWrap w:val="false"/>
          </w:tcPr>
          <w:p>
            <w:pPr>
              <w:pBdr/>
              <w:spacing/>
              <w:ind/>
              <w:jc w:val="center"/>
              <w:rPr>
                <w:rFonts w:ascii="Times New Roman" w:hAnsi="Times New Roman" w:cs="Times New Roman"/>
                <w:b w:val="0"/>
              </w:rPr>
            </w:pPr>
            <w:r>
              <w:rPr>
                <w:rFonts w:ascii="Times New Roman" w:hAnsi="Times New Roman" w:cs="Times New Roman"/>
                <w:b w:val="0"/>
              </w:rPr>
              <w:t xml:space="preserve">10</w:t>
            </w:r>
            <w:r>
              <w:rPr>
                <w:rFonts w:ascii="Times New Roman" w:hAnsi="Times New Roman" w:cs="Times New Roman"/>
                <w:b w:val="0"/>
              </w:rPr>
            </w:r>
            <w:r>
              <w:rPr>
                <w:rFonts w:ascii="Times New Roman" w:hAnsi="Times New Roman" w:cs="Times New Roman"/>
                <w:b w:val="0"/>
              </w:rPr>
            </w:r>
          </w:p>
        </w:tc>
      </w:tr>
      <w:tr>
        <w:trPr/>
        <w:tc>
          <w:tcPr>
            <w:shd w:val="clear" w:color="auto" w:fill="auto"/>
            <w:tcBorders/>
            <w:tcW w:w="1841" w:type="dxa"/>
            <w:vMerge w:val="restart"/>
            <w:textDirection w:val="lrTb"/>
            <w:noWrap w:val="false"/>
          </w:tcPr>
          <w:p>
            <w:pPr>
              <w:pBdr/>
              <w:spacing/>
              <w:ind/>
              <w:rPr>
                <w:rFonts w:ascii="Times New Roman" w:hAnsi="Times New Roman" w:cs="Times New Roman"/>
              </w:rPr>
            </w:pPr>
            <w:r>
              <w:rPr>
                <w:rFonts w:ascii="Times New Roman" w:hAnsi="Times New Roman" w:cs="Times New Roman"/>
              </w:rPr>
              <w:t xml:space="preserve">1.Забезпечення організації заходів щодо охорони об'єктів (пам'яток) культурної спадщини та дотримання вимог нормативно-правових актів, що регулюють діяльність у галузі охорони </w:t>
            </w:r>
            <w:r>
              <w:rPr>
                <w:rFonts w:ascii="Times New Roman" w:hAnsi="Times New Roman" w:cs="Times New Roman"/>
              </w:rPr>
              <w:t xml:space="preserve">культурної спадщини. </w:t>
            </w:r>
            <w:r>
              <w:rPr>
                <w:rFonts w:ascii="Times New Roman" w:hAnsi="Times New Roman" w:cs="Times New Roman"/>
              </w:rPr>
              <w:t xml:space="preserve">Організація їх обстежень, контроль за використанням</w:t>
            </w:r>
            <w:r>
              <w:rPr>
                <w:rFonts w:ascii="Times New Roman" w:hAnsi="Times New Roman" w:cs="Times New Roman"/>
              </w:rPr>
            </w:r>
            <w:r>
              <w:rPr>
                <w:rFonts w:ascii="Times New Roman" w:hAnsi="Times New Roman" w:cs="Times New Roman"/>
              </w:rPr>
            </w:r>
          </w:p>
        </w:tc>
        <w:tc>
          <w:tcPr>
            <w:shd w:val="clear" w:color="auto" w:fill="auto"/>
            <w:tcBorders/>
            <w:tcW w:w="2408" w:type="dxa"/>
            <w:textDirection w:val="lrTb"/>
            <w:noWrap w:val="false"/>
          </w:tcPr>
          <w:p>
            <w:pPr>
              <w:pBdr/>
              <w:spacing/>
              <w:ind/>
              <w:rPr>
                <w:rFonts w:ascii="Times New Roman" w:hAnsi="Times New Roman" w:cs="Times New Roman"/>
              </w:rPr>
            </w:pPr>
            <w:r>
              <w:rPr>
                <w:rFonts w:ascii="Times New Roman" w:hAnsi="Times New Roman" w:cs="Times New Roman"/>
              </w:rPr>
              <w:t xml:space="preserve">1.1. Забезпечення утримання та розвитку пам'яток культурної спадщини та щойно виявлених об'єктів. Проведення  ремонтних та</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 реставраційних</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робіт на пам’ятках</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культурної спадщини</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2025-2027</w:t>
            </w:r>
            <w:r>
              <w:rPr>
                <w:rFonts w:ascii="Times New Roman" w:hAnsi="Times New Roman" w:cs="Times New Roman"/>
              </w:rPr>
            </w:r>
            <w:r>
              <w:rPr>
                <w:rFonts w:ascii="Times New Roman" w:hAnsi="Times New Roman" w:cs="Times New Roman"/>
              </w:rPr>
            </w:r>
          </w:p>
        </w:tc>
        <w:tc>
          <w:tcPr>
            <w:shd w:val="clear" w:color="auto" w:fill="auto"/>
            <w:tcBorders/>
            <w:tcW w:w="1559" w:type="dxa"/>
            <w:textDirection w:val="lrTb"/>
            <w:noWrap w:val="false"/>
          </w:tcPr>
          <w:p>
            <w:pPr>
              <w:pBdr/>
              <w:spacing/>
              <w:ind/>
              <w:rPr>
                <w:rFonts w:ascii="Times New Roman" w:hAnsi="Times New Roman" w:cs="Times New Roman"/>
              </w:rPr>
            </w:pPr>
            <w:r>
              <w:rPr>
                <w:rFonts w:ascii="Times New Roman" w:hAnsi="Times New Roman" w:cs="Times New Roman"/>
              </w:rPr>
              <w:t xml:space="preserve">Менська міська рада; </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Відділ культури міської ради</w:t>
            </w:r>
            <w:r>
              <w:rPr>
                <w:rFonts w:ascii="Times New Roman" w:hAnsi="Times New Roman" w:cs="Times New Roman"/>
              </w:rPr>
            </w:r>
            <w:r>
              <w:rPr>
                <w:rFonts w:ascii="Times New Roman" w:hAnsi="Times New Roman" w:cs="Times New Roman"/>
              </w:rPr>
            </w:r>
          </w:p>
        </w:tc>
        <w:tc>
          <w:tcPr>
            <w:shd w:val="clear" w:color="auto" w:fill="auto"/>
            <w:tcBorders/>
            <w:tcW w:w="1845" w:type="dxa"/>
            <w:textDirection w:val="lrTb"/>
            <w:noWrap w:val="false"/>
          </w:tcPr>
          <w:p>
            <w:pPr>
              <w:pBdr/>
              <w:spacing/>
              <w:ind/>
              <w:rPr>
                <w:rFonts w:ascii="Times New Roman" w:hAnsi="Times New Roman" w:cs="Times New Roman"/>
              </w:rPr>
            </w:pPr>
            <w:r>
              <w:rPr>
                <w:rFonts w:ascii="Times New Roman" w:hAnsi="Times New Roman" w:cs="Times New Roman"/>
              </w:rPr>
              <w:t xml:space="preserve">Бюджет Менської міської територіальної громади; інші джерела, не заборонені законодавством</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200,0</w:t>
            </w:r>
            <w:r>
              <w:rPr>
                <w:rFonts w:ascii="Times New Roman" w:hAnsi="Times New Roman" w:cs="Times New Roman"/>
              </w:rPr>
            </w:r>
            <w:r>
              <w:rPr>
                <w:rFonts w:ascii="Times New Roman" w:hAnsi="Times New Roman" w:cs="Times New Roman"/>
              </w:rPr>
            </w:r>
          </w:p>
        </w:tc>
        <w:tc>
          <w:tcPr>
            <w:shd w:val="clear" w:color="auto" w:fill="auto"/>
            <w:tcBorders/>
            <w:tcW w:w="993" w:type="dxa"/>
            <w:textDirection w:val="lrTb"/>
            <w:noWrap w:val="false"/>
          </w:tcPr>
          <w:p>
            <w:pPr>
              <w:pBdr/>
              <w:spacing/>
              <w:ind/>
              <w:rPr>
                <w:rFonts w:ascii="Times New Roman" w:hAnsi="Times New Roman" w:cs="Times New Roman"/>
              </w:rPr>
            </w:pPr>
            <w:r>
              <w:rPr>
                <w:rFonts w:ascii="Times New Roman" w:hAnsi="Times New Roman" w:cs="Times New Roman"/>
              </w:rPr>
              <w:t xml:space="preserve">200,0.</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200,0</w:t>
            </w:r>
            <w:r>
              <w:rPr>
                <w:rFonts w:ascii="Times New Roman" w:hAnsi="Times New Roman" w:cs="Times New Roman"/>
              </w:rPr>
            </w:r>
            <w:r>
              <w:rPr>
                <w:rFonts w:ascii="Times New Roman" w:hAnsi="Times New Roman" w:cs="Times New Roman"/>
              </w:rPr>
            </w:r>
          </w:p>
        </w:tc>
        <w:tc>
          <w:tcPr>
            <w:shd w:val="clear" w:color="auto" w:fill="auto"/>
            <w:tcBorders/>
            <w:tcW w:w="850" w:type="dxa"/>
            <w:textDirection w:val="lrTb"/>
            <w:noWrap w:val="false"/>
          </w:tcPr>
          <w:p>
            <w:pPr>
              <w:pBdr/>
              <w:spacing/>
              <w:ind/>
              <w:rPr>
                <w:rFonts w:ascii="Times New Roman" w:hAnsi="Times New Roman" w:cs="Times New Roman"/>
              </w:rPr>
            </w:pPr>
            <w:r>
              <w:rPr>
                <w:rFonts w:ascii="Times New Roman" w:hAnsi="Times New Roman" w:cs="Times New Roman"/>
              </w:rPr>
              <w:t xml:space="preserve">600,0</w:t>
            </w:r>
            <w:r>
              <w:rPr>
                <w:rFonts w:ascii="Times New Roman" w:hAnsi="Times New Roman" w:cs="Times New Roman"/>
              </w:rPr>
            </w:r>
            <w:r>
              <w:rPr>
                <w:rFonts w:ascii="Times New Roman" w:hAnsi="Times New Roman" w:cs="Times New Roman"/>
              </w:rPr>
            </w:r>
          </w:p>
        </w:tc>
        <w:tc>
          <w:tcPr>
            <w:shd w:val="clear" w:color="auto" w:fill="auto"/>
            <w:tcBorders/>
            <w:tcW w:w="2979" w:type="dxa"/>
            <w:textDirection w:val="lrTb"/>
            <w:noWrap w:val="false"/>
          </w:tcPr>
          <w:p>
            <w:pPr>
              <w:pBdr/>
              <w:spacing/>
              <w:ind/>
              <w:rPr>
                <w:rFonts w:ascii="Times New Roman" w:hAnsi="Times New Roman" w:cs="Times New Roman"/>
              </w:rPr>
            </w:pPr>
            <w:r>
              <w:rPr>
                <w:rFonts w:ascii="Times New Roman" w:hAnsi="Times New Roman" w:cs="Times New Roman"/>
              </w:rPr>
              <w:t xml:space="preserve">Забезпечення належної організації заходів щодо охорони об'єктів (пам'яток) культурної спадщини; сприяння позитивному та динамічному розвитку галузі охорони культурної спадщини.</w:t>
            </w:r>
            <w:r>
              <w:rPr>
                <w:rFonts w:ascii="Times New Roman" w:hAnsi="Times New Roman" w:cs="Times New Roman"/>
              </w:rPr>
            </w:r>
            <w:r>
              <w:rPr>
                <w:rFonts w:ascii="Times New Roman" w:hAnsi="Times New Roman" w:cs="Times New Roman"/>
              </w:rPr>
            </w:r>
          </w:p>
        </w:tc>
      </w:tr>
      <w:tr>
        <w:trPr/>
        <w:tc>
          <w:tcPr>
            <w:shd w:val="clear" w:color="auto" w:fill="auto"/>
            <w:tcBorders/>
            <w:tcW w:w="1841" w:type="dxa"/>
            <w:vMerge w:val="continue"/>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2408" w:type="dxa"/>
            <w:textDirection w:val="lrTb"/>
            <w:noWrap w:val="false"/>
          </w:tcPr>
          <w:p>
            <w:pPr>
              <w:pBdr/>
              <w:spacing/>
              <w:ind/>
              <w:rPr>
                <w:rFonts w:ascii="Times New Roman" w:hAnsi="Times New Roman" w:cs="Times New Roman"/>
              </w:rPr>
            </w:pPr>
            <w:r>
              <w:rPr>
                <w:rFonts w:ascii="Times New Roman" w:hAnsi="Times New Roman" w:cs="Times New Roman"/>
              </w:rPr>
              <w:t xml:space="preserve">1.2. Забезпечення відновлення матеріально-технічної </w:t>
            </w:r>
            <w:r>
              <w:rPr>
                <w:rFonts w:ascii="Times New Roman" w:hAnsi="Times New Roman" w:cs="Times New Roman"/>
              </w:rPr>
              <w:t xml:space="preserve">бази та покращення технічно</w:t>
            </w:r>
            <w:r>
              <w:rPr>
                <w:rFonts w:ascii="Times New Roman" w:hAnsi="Times New Roman" w:cs="Times New Roman"/>
              </w:rPr>
              <w:t xml:space="preserve">го переоснащення пам'яток культурної спадщини та щойно виявлених об'єктів. Демонтаж та заміна на пам’ятках та об'єктах культурної спадщини, вилучення елементів радянської символіки на пам’ятках культурної спадщини, які підлягають вилученню згідно з ЗУ «Про</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засудження комуністичного</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та націонал-соціалістичного</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(нацистського) тоталітарних режимів в Україні та заборону</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пропаганди їхньої символіки», «Про засудження та заборону</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пропаганди російської</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імперської політики в Україні і </w:t>
            </w:r>
            <w:r>
              <w:rPr>
                <w:rFonts w:ascii="Times New Roman" w:hAnsi="Times New Roman" w:cs="Times New Roman"/>
              </w:rPr>
              <w:t xml:space="preserve">деколонізацію топонімії».</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2025-2027</w:t>
            </w:r>
            <w:r>
              <w:rPr>
                <w:rFonts w:ascii="Times New Roman" w:hAnsi="Times New Roman" w:cs="Times New Roman"/>
              </w:rPr>
            </w:r>
            <w:r>
              <w:rPr>
                <w:rFonts w:ascii="Times New Roman" w:hAnsi="Times New Roman" w:cs="Times New Roman"/>
              </w:rPr>
            </w:r>
          </w:p>
        </w:tc>
        <w:tc>
          <w:tcPr>
            <w:shd w:val="clear" w:color="auto" w:fill="auto"/>
            <w:tcBorders/>
            <w:tcW w:w="1559" w:type="dxa"/>
            <w:textDirection w:val="lrTb"/>
            <w:noWrap w:val="false"/>
          </w:tcPr>
          <w:p>
            <w:pPr>
              <w:pBdr/>
              <w:spacing/>
              <w:ind/>
              <w:rPr>
                <w:rFonts w:ascii="Times New Roman" w:hAnsi="Times New Roman" w:cs="Times New Roman"/>
              </w:rPr>
            </w:pPr>
            <w:r>
              <w:rPr>
                <w:rFonts w:ascii="Times New Roman" w:hAnsi="Times New Roman" w:cs="Times New Roman"/>
              </w:rPr>
              <w:t xml:space="preserve">Комісія, затверджена розпорядженн</w:t>
            </w:r>
            <w:r>
              <w:rPr>
                <w:rFonts w:ascii="Times New Roman" w:hAnsi="Times New Roman" w:cs="Times New Roman"/>
              </w:rPr>
              <w:t xml:space="preserve">ям міського голови.</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Учасники Програми</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1845" w:type="dxa"/>
            <w:textDirection w:val="lrTb"/>
            <w:noWrap w:val="false"/>
          </w:tcPr>
          <w:p>
            <w:pPr>
              <w:pBdr/>
              <w:spacing/>
              <w:ind/>
              <w:rPr>
                <w:rFonts w:ascii="Times New Roman" w:hAnsi="Times New Roman" w:cs="Times New Roman"/>
              </w:rPr>
            </w:pPr>
            <w:r>
              <w:rPr>
                <w:rFonts w:ascii="Times New Roman" w:hAnsi="Times New Roman" w:cs="Times New Roman"/>
              </w:rPr>
              <w:t xml:space="preserve">Бюджет Менської міської територіальної </w:t>
            </w:r>
            <w:r>
              <w:rPr>
                <w:rFonts w:ascii="Times New Roman" w:hAnsi="Times New Roman" w:cs="Times New Roman"/>
              </w:rPr>
              <w:t xml:space="preserve">громади, інші джерела, не заборонені законодавством</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200,0</w:t>
            </w:r>
            <w:r>
              <w:rPr>
                <w:rFonts w:ascii="Times New Roman" w:hAnsi="Times New Roman" w:cs="Times New Roman"/>
              </w:rPr>
            </w:r>
            <w:r>
              <w:rPr>
                <w:rFonts w:ascii="Times New Roman" w:hAnsi="Times New Roman" w:cs="Times New Roman"/>
              </w:rPr>
            </w:r>
          </w:p>
        </w:tc>
        <w:tc>
          <w:tcPr>
            <w:shd w:val="clear" w:color="auto" w:fill="auto"/>
            <w:tcBorders/>
            <w:tcW w:w="993" w:type="dxa"/>
            <w:textDirection w:val="lrTb"/>
            <w:noWrap w:val="false"/>
          </w:tcPr>
          <w:p>
            <w:pPr>
              <w:pBdr/>
              <w:spacing/>
              <w:ind/>
              <w:rPr>
                <w:rFonts w:ascii="Times New Roman" w:hAnsi="Times New Roman" w:cs="Times New Roman"/>
              </w:rPr>
            </w:pPr>
            <w:r>
              <w:rPr>
                <w:rFonts w:ascii="Times New Roman" w:hAnsi="Times New Roman" w:cs="Times New Roman"/>
              </w:rPr>
              <w:t xml:space="preserve">200,0</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200,0</w:t>
            </w:r>
            <w:r>
              <w:rPr>
                <w:rFonts w:ascii="Times New Roman" w:hAnsi="Times New Roman" w:cs="Times New Roman"/>
              </w:rPr>
            </w:r>
            <w:r>
              <w:rPr>
                <w:rFonts w:ascii="Times New Roman" w:hAnsi="Times New Roman" w:cs="Times New Roman"/>
              </w:rPr>
            </w:r>
          </w:p>
        </w:tc>
        <w:tc>
          <w:tcPr>
            <w:shd w:val="clear" w:color="auto" w:fill="auto"/>
            <w:tcBorders/>
            <w:tcW w:w="850" w:type="dxa"/>
            <w:textDirection w:val="lrTb"/>
            <w:noWrap w:val="false"/>
          </w:tcPr>
          <w:p>
            <w:pPr>
              <w:pBdr/>
              <w:spacing/>
              <w:ind/>
              <w:rPr>
                <w:rFonts w:ascii="Times New Roman" w:hAnsi="Times New Roman" w:cs="Times New Roman"/>
              </w:rPr>
            </w:pPr>
            <w:r>
              <w:rPr>
                <w:rFonts w:ascii="Times New Roman" w:hAnsi="Times New Roman" w:cs="Times New Roman"/>
              </w:rPr>
              <w:t xml:space="preserve">600,0</w:t>
            </w:r>
            <w:r>
              <w:rPr>
                <w:rFonts w:ascii="Times New Roman" w:hAnsi="Times New Roman" w:cs="Times New Roman"/>
              </w:rPr>
            </w:r>
            <w:r>
              <w:rPr>
                <w:rFonts w:ascii="Times New Roman" w:hAnsi="Times New Roman" w:cs="Times New Roman"/>
              </w:rPr>
            </w:r>
          </w:p>
        </w:tc>
        <w:tc>
          <w:tcPr>
            <w:shd w:val="clear" w:color="auto" w:fill="auto"/>
            <w:tcBorders/>
            <w:tcW w:w="2979" w:type="dxa"/>
            <w:textDirection w:val="lrTb"/>
            <w:noWrap w:val="false"/>
          </w:tcPr>
          <w:p>
            <w:pPr>
              <w:pBdr/>
              <w:spacing/>
              <w:ind/>
              <w:rPr>
                <w:rFonts w:ascii="Times New Roman" w:hAnsi="Times New Roman" w:cs="Times New Roman"/>
              </w:rPr>
            </w:pPr>
            <w:r>
              <w:rPr>
                <w:rFonts w:ascii="Times New Roman" w:hAnsi="Times New Roman" w:cs="Times New Roman"/>
              </w:rPr>
              <w:t xml:space="preserve">Демонтаж та заміна на пам’ятках та об'єктах </w:t>
            </w:r>
            <w:r>
              <w:rPr>
                <w:rFonts w:ascii="Times New Roman" w:hAnsi="Times New Roman" w:cs="Times New Roman"/>
              </w:rPr>
              <w:t xml:space="preserve">культурної спадщини елементів радянської</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символіки , які</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підлягають вилученню згідно з ЗУ «Про засудження та заборону пропаганди російської імперської політики в Україні і деколонізацію</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топонімії».</w:t>
            </w:r>
            <w:r>
              <w:rPr>
                <w:rFonts w:ascii="Times New Roman" w:hAnsi="Times New Roman" w:cs="Times New Roman"/>
              </w:rPr>
            </w:r>
            <w:r>
              <w:rPr>
                <w:rFonts w:ascii="Times New Roman" w:hAnsi="Times New Roman" w:cs="Times New Roman"/>
              </w:rPr>
            </w:r>
          </w:p>
        </w:tc>
      </w:tr>
      <w:tr>
        <w:trPr/>
        <w:tc>
          <w:tcPr>
            <w:shd w:val="clear" w:color="auto" w:fill="auto"/>
            <w:tcBorders/>
            <w:tcW w:w="1841" w:type="dxa"/>
            <w:vMerge w:val="continue"/>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2408" w:type="dxa"/>
            <w:textDirection w:val="lrTb"/>
            <w:noWrap w:val="false"/>
          </w:tcPr>
          <w:p>
            <w:pPr>
              <w:pBdr/>
              <w:spacing/>
              <w:ind/>
              <w:rPr>
                <w:rFonts w:ascii="Times New Roman" w:hAnsi="Times New Roman" w:cs="Times New Roman"/>
              </w:rPr>
            </w:pPr>
            <w:r>
              <w:rPr>
                <w:rFonts w:ascii="Times New Roman" w:hAnsi="Times New Roman" w:cs="Times New Roman"/>
              </w:rPr>
              <w:t xml:space="preserve">1.3. Забезпечення дотримання режиму використання пам'яток культурної спадщини та щойно виявлених об'єктів,  їх збереження та використання власниками (користувачами).</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2025-2027</w:t>
            </w:r>
            <w:r>
              <w:rPr>
                <w:rFonts w:ascii="Times New Roman" w:hAnsi="Times New Roman" w:cs="Times New Roman"/>
              </w:rPr>
            </w:r>
            <w:r>
              <w:rPr>
                <w:rFonts w:ascii="Times New Roman" w:hAnsi="Times New Roman" w:cs="Times New Roman"/>
              </w:rPr>
            </w:r>
          </w:p>
        </w:tc>
        <w:tc>
          <w:tcPr>
            <w:shd w:val="clear" w:color="auto" w:fill="auto"/>
            <w:tcBorders/>
            <w:tcW w:w="1559" w:type="dxa"/>
            <w:textDirection w:val="lrTb"/>
            <w:noWrap w:val="false"/>
          </w:tcPr>
          <w:p>
            <w:pPr>
              <w:pBdr/>
              <w:spacing/>
              <w:ind/>
              <w:rPr>
                <w:rFonts w:ascii="Times New Roman" w:hAnsi="Times New Roman" w:cs="Times New Roman"/>
              </w:rPr>
            </w:pPr>
            <w:r>
              <w:rPr>
                <w:rFonts w:ascii="Times New Roman" w:hAnsi="Times New Roman" w:cs="Times New Roman"/>
              </w:rPr>
              <w:t xml:space="preserve">Менська міська рада; </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Відділ культури міської ради</w:t>
            </w:r>
            <w:r>
              <w:rPr>
                <w:rFonts w:ascii="Times New Roman" w:hAnsi="Times New Roman" w:cs="Times New Roman"/>
              </w:rPr>
            </w:r>
            <w:r>
              <w:rPr>
                <w:rFonts w:ascii="Times New Roman" w:hAnsi="Times New Roman" w:cs="Times New Roman"/>
              </w:rPr>
            </w:r>
          </w:p>
        </w:tc>
        <w:tc>
          <w:tcPr>
            <w:shd w:val="clear" w:color="auto" w:fill="auto"/>
            <w:tcBorders/>
            <w:tcW w:w="1845" w:type="dxa"/>
            <w:textDirection w:val="lrTb"/>
            <w:noWrap w:val="false"/>
          </w:tcPr>
          <w:p>
            <w:pPr>
              <w:pBdr/>
              <w:spacing/>
              <w:ind/>
              <w:rPr>
                <w:rFonts w:ascii="Times New Roman" w:hAnsi="Times New Roman" w:cs="Times New Roman"/>
              </w:rPr>
            </w:pPr>
            <w:r>
              <w:rPr>
                <w:rFonts w:ascii="Times New Roman" w:hAnsi="Times New Roman" w:cs="Times New Roman"/>
              </w:rPr>
              <w:t xml:space="preserve">Бюджет Менської міської територіальної громади, інші джерела, не заборонені законодавством</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993"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850"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2979" w:type="dxa"/>
            <w:textDirection w:val="lrTb"/>
            <w:noWrap w:val="false"/>
          </w:tcPr>
          <w:p>
            <w:pPr>
              <w:pBdr/>
              <w:spacing/>
              <w:ind/>
              <w:rPr>
                <w:rFonts w:ascii="Times New Roman" w:hAnsi="Times New Roman" w:cs="Times New Roman"/>
              </w:rPr>
            </w:pPr>
            <w:r>
              <w:rPr>
                <w:rFonts w:ascii="Times New Roman" w:hAnsi="Times New Roman" w:cs="Times New Roman"/>
              </w:rPr>
              <w:t xml:space="preserve">Контроль на основі співпраці громадськості, правоохоронних органів та органів охорони культурної спадщини. Складання інформаційних листів та приписів у разі виявлення порушень.</w:t>
            </w:r>
            <w:r>
              <w:rPr>
                <w:rFonts w:ascii="Times New Roman" w:hAnsi="Times New Roman" w:cs="Times New Roman"/>
              </w:rPr>
            </w:r>
            <w:r>
              <w:rPr>
                <w:rFonts w:ascii="Times New Roman" w:hAnsi="Times New Roman" w:cs="Times New Roman"/>
              </w:rPr>
            </w:r>
          </w:p>
        </w:tc>
      </w:tr>
      <w:tr>
        <w:trPr/>
        <w:tc>
          <w:tcPr>
            <w:shd w:val="clear" w:color="auto" w:fill="auto"/>
            <w:tcBorders/>
            <w:tcW w:w="1841" w:type="dxa"/>
            <w:vMerge w:val="continue"/>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2408" w:type="dxa"/>
            <w:textDirection w:val="lrTb"/>
            <w:noWrap w:val="false"/>
          </w:tcPr>
          <w:p>
            <w:pPr>
              <w:pBdr/>
              <w:spacing/>
              <w:ind/>
              <w:rPr>
                <w:rFonts w:ascii="Times New Roman" w:hAnsi="Times New Roman" w:cs="Times New Roman"/>
              </w:rPr>
            </w:pPr>
            <w:r>
              <w:rPr>
                <w:rFonts w:ascii="Times New Roman" w:hAnsi="Times New Roman" w:cs="Times New Roman"/>
                <w:bCs/>
              </w:rPr>
              <w:t xml:space="preserve">1.4. Встановлення пам’ятних знаків і меморіальних дошок Героям, загиблим у російсько-українській війні</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2025-2027</w:t>
            </w:r>
            <w:r>
              <w:rPr>
                <w:rFonts w:ascii="Times New Roman" w:hAnsi="Times New Roman" w:cs="Times New Roman"/>
              </w:rPr>
            </w:r>
            <w:r>
              <w:rPr>
                <w:rFonts w:ascii="Times New Roman" w:hAnsi="Times New Roman" w:cs="Times New Roman"/>
              </w:rPr>
            </w:r>
          </w:p>
        </w:tc>
        <w:tc>
          <w:tcPr>
            <w:shd w:val="clear" w:color="auto" w:fill="auto"/>
            <w:tcBorders/>
            <w:tcW w:w="1559" w:type="dxa"/>
            <w:textDirection w:val="lrTb"/>
            <w:noWrap w:val="false"/>
          </w:tcPr>
          <w:p>
            <w:pPr>
              <w:pBdr/>
              <w:spacing/>
              <w:ind/>
              <w:rPr>
                <w:rFonts w:ascii="Times New Roman" w:hAnsi="Times New Roman" w:cs="Times New Roman"/>
              </w:rPr>
            </w:pPr>
            <w:r>
              <w:rPr>
                <w:rFonts w:ascii="Times New Roman" w:hAnsi="Times New Roman" w:cs="Times New Roman"/>
              </w:rPr>
              <w:t xml:space="preserve">Менська міська рада; </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Відділ культури міської ради</w:t>
            </w:r>
            <w:r>
              <w:rPr>
                <w:rFonts w:ascii="Times New Roman" w:hAnsi="Times New Roman" w:cs="Times New Roman"/>
              </w:rPr>
            </w:r>
            <w:r>
              <w:rPr>
                <w:rFonts w:ascii="Times New Roman" w:hAnsi="Times New Roman" w:cs="Times New Roman"/>
              </w:rPr>
            </w:r>
          </w:p>
        </w:tc>
        <w:tc>
          <w:tcPr>
            <w:shd w:val="clear" w:color="auto" w:fill="auto"/>
            <w:tcBorders/>
            <w:tcW w:w="1845" w:type="dxa"/>
            <w:textDirection w:val="lrTb"/>
            <w:noWrap w:val="false"/>
          </w:tcPr>
          <w:p>
            <w:pPr>
              <w:pBdr/>
              <w:spacing/>
              <w:ind/>
              <w:rPr>
                <w:rFonts w:ascii="Times New Roman" w:hAnsi="Times New Roman" w:cs="Times New Roman"/>
              </w:rPr>
            </w:pPr>
            <w:r>
              <w:rPr>
                <w:rFonts w:ascii="Times New Roman" w:hAnsi="Times New Roman" w:cs="Times New Roman"/>
              </w:rPr>
              <w:t xml:space="preserve">Бюджет Менської міської територіальної громади, інші джерела, не заборонені законодавством</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200</w:t>
            </w:r>
            <w:r>
              <w:rPr>
                <w:rFonts w:ascii="Times New Roman" w:hAnsi="Times New Roman" w:cs="Times New Roman"/>
              </w:rPr>
            </w:r>
            <w:r>
              <w:rPr>
                <w:rFonts w:ascii="Times New Roman" w:hAnsi="Times New Roman" w:cs="Times New Roman"/>
              </w:rPr>
            </w:r>
          </w:p>
        </w:tc>
        <w:tc>
          <w:tcPr>
            <w:shd w:val="clear" w:color="auto" w:fill="auto"/>
            <w:tcBorders/>
            <w:tcW w:w="993" w:type="dxa"/>
            <w:textDirection w:val="lrTb"/>
            <w:noWrap w:val="false"/>
          </w:tcPr>
          <w:p>
            <w:pPr>
              <w:pBdr/>
              <w:spacing/>
              <w:ind/>
              <w:rPr>
                <w:rFonts w:ascii="Times New Roman" w:hAnsi="Times New Roman" w:cs="Times New Roman"/>
              </w:rPr>
            </w:pPr>
            <w:r>
              <w:rPr>
                <w:rFonts w:ascii="Times New Roman" w:hAnsi="Times New Roman" w:cs="Times New Roman"/>
              </w:rPr>
              <w:t xml:space="preserve">200</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200</w:t>
            </w:r>
            <w:r>
              <w:rPr>
                <w:rFonts w:ascii="Times New Roman" w:hAnsi="Times New Roman" w:cs="Times New Roman"/>
              </w:rPr>
            </w:r>
            <w:r>
              <w:rPr>
                <w:rFonts w:ascii="Times New Roman" w:hAnsi="Times New Roman" w:cs="Times New Roman"/>
              </w:rPr>
            </w:r>
          </w:p>
        </w:tc>
        <w:tc>
          <w:tcPr>
            <w:shd w:val="clear" w:color="auto" w:fill="auto"/>
            <w:tcBorders/>
            <w:tcW w:w="850" w:type="dxa"/>
            <w:textDirection w:val="lrTb"/>
            <w:noWrap w:val="false"/>
          </w:tcPr>
          <w:p>
            <w:pPr>
              <w:pBdr/>
              <w:spacing/>
              <w:ind/>
              <w:rPr>
                <w:rFonts w:ascii="Times New Roman" w:hAnsi="Times New Roman" w:cs="Times New Roman"/>
              </w:rPr>
            </w:pPr>
            <w:r>
              <w:rPr>
                <w:rFonts w:ascii="Times New Roman" w:hAnsi="Times New Roman" w:cs="Times New Roman"/>
              </w:rPr>
              <w:t xml:space="preserve">600</w:t>
            </w:r>
            <w:r>
              <w:rPr>
                <w:rFonts w:ascii="Times New Roman" w:hAnsi="Times New Roman" w:cs="Times New Roman"/>
              </w:rPr>
            </w:r>
            <w:r>
              <w:rPr>
                <w:rFonts w:ascii="Times New Roman" w:hAnsi="Times New Roman" w:cs="Times New Roman"/>
              </w:rPr>
            </w:r>
          </w:p>
        </w:tc>
        <w:tc>
          <w:tcPr>
            <w:shd w:val="clear" w:color="auto" w:fill="auto"/>
            <w:tcBorders/>
            <w:tcW w:w="2979" w:type="dxa"/>
            <w:textDirection w:val="lrTb"/>
            <w:noWrap w:val="false"/>
          </w:tcPr>
          <w:p>
            <w:pPr>
              <w:pBdr/>
              <w:spacing/>
              <w:ind/>
              <w:rPr>
                <w:rFonts w:ascii="Times New Roman" w:hAnsi="Times New Roman" w:cs="Times New Roman"/>
              </w:rPr>
            </w:pPr>
            <w:r>
              <w:rPr>
                <w:rFonts w:ascii="Times New Roman" w:hAnsi="Times New Roman" w:cs="Times New Roman"/>
              </w:rPr>
              <w:t xml:space="preserve">Героїзація та вшанування на належному рівні пам’яті загиблих захисників України</w:t>
            </w:r>
            <w:r>
              <w:rPr>
                <w:rFonts w:ascii="Times New Roman" w:hAnsi="Times New Roman" w:cs="Times New Roman"/>
              </w:rPr>
            </w:r>
            <w:r>
              <w:rPr>
                <w:rFonts w:ascii="Times New Roman" w:hAnsi="Times New Roman" w:cs="Times New Roman"/>
              </w:rPr>
            </w:r>
          </w:p>
        </w:tc>
      </w:tr>
      <w:tr>
        <w:trPr/>
        <w:tc>
          <w:tcPr>
            <w:shd w:val="clear" w:color="auto" w:fill="auto"/>
            <w:tcBorders/>
            <w:tcW w:w="1841" w:type="dxa"/>
            <w:vMerge w:val="continue"/>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2408" w:type="dxa"/>
            <w:textDirection w:val="lrTb"/>
            <w:noWrap w:val="false"/>
          </w:tcPr>
          <w:p>
            <w:pPr>
              <w:pBdr/>
              <w:spacing/>
              <w:ind/>
              <w:rPr>
                <w:rFonts w:ascii="Times New Roman" w:hAnsi="Times New Roman" w:cs="Times New Roman"/>
              </w:rPr>
            </w:pPr>
            <w:r>
              <w:rPr>
                <w:rFonts w:ascii="Times New Roman" w:hAnsi="Times New Roman" w:cs="Times New Roman"/>
              </w:rPr>
              <w:t xml:space="preserve">1.5. Забезпечення доступності  до об'єктів архітектурної спадщини для маломобільних груп населення</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2025-2027</w:t>
            </w:r>
            <w:r>
              <w:rPr>
                <w:rFonts w:ascii="Times New Roman" w:hAnsi="Times New Roman" w:cs="Times New Roman"/>
              </w:rPr>
            </w:r>
            <w:r>
              <w:rPr>
                <w:rFonts w:ascii="Times New Roman" w:hAnsi="Times New Roman" w:cs="Times New Roman"/>
              </w:rPr>
            </w:r>
          </w:p>
        </w:tc>
        <w:tc>
          <w:tcPr>
            <w:shd w:val="clear" w:color="auto" w:fill="auto"/>
            <w:tcBorders/>
            <w:tcW w:w="1559" w:type="dxa"/>
            <w:textDirection w:val="lrTb"/>
            <w:noWrap w:val="false"/>
          </w:tcPr>
          <w:p>
            <w:pPr>
              <w:pBdr/>
              <w:spacing/>
              <w:ind/>
              <w:rPr>
                <w:rFonts w:ascii="Times New Roman" w:hAnsi="Times New Roman" w:cs="Times New Roman"/>
              </w:rPr>
            </w:pPr>
            <w:r>
              <w:rPr>
                <w:rFonts w:ascii="Times New Roman" w:hAnsi="Times New Roman" w:cs="Times New Roman"/>
              </w:rPr>
              <w:t xml:space="preserve">Менська міська рада; </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Відділ культури міської ради</w:t>
            </w:r>
            <w:r>
              <w:rPr>
                <w:rFonts w:ascii="Times New Roman" w:hAnsi="Times New Roman" w:cs="Times New Roman"/>
              </w:rPr>
            </w:r>
            <w:r>
              <w:rPr>
                <w:rFonts w:ascii="Times New Roman" w:hAnsi="Times New Roman" w:cs="Times New Roman"/>
              </w:rPr>
            </w:r>
          </w:p>
        </w:tc>
        <w:tc>
          <w:tcPr>
            <w:shd w:val="clear" w:color="auto" w:fill="auto"/>
            <w:tcBorders/>
            <w:tcW w:w="1845" w:type="dxa"/>
            <w:textDirection w:val="lrTb"/>
            <w:noWrap w:val="false"/>
          </w:tcPr>
          <w:p>
            <w:pPr>
              <w:pBdr/>
              <w:spacing/>
              <w:ind/>
              <w:rPr>
                <w:rFonts w:ascii="Times New Roman" w:hAnsi="Times New Roman" w:cs="Times New Roman"/>
              </w:rPr>
            </w:pPr>
            <w:r>
              <w:rPr>
                <w:rFonts w:ascii="Times New Roman" w:hAnsi="Times New Roman" w:cs="Times New Roman"/>
              </w:rPr>
              <w:t xml:space="preserve">Бюджет Менської міської територіальної громади, інші джерела, не заборонені законодавством</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50,0</w:t>
            </w:r>
            <w:r>
              <w:rPr>
                <w:rFonts w:ascii="Times New Roman" w:hAnsi="Times New Roman" w:cs="Times New Roman"/>
              </w:rPr>
            </w:r>
            <w:r>
              <w:rPr>
                <w:rFonts w:ascii="Times New Roman" w:hAnsi="Times New Roman" w:cs="Times New Roman"/>
              </w:rPr>
            </w:r>
          </w:p>
        </w:tc>
        <w:tc>
          <w:tcPr>
            <w:shd w:val="clear" w:color="auto" w:fill="auto"/>
            <w:tcBorders/>
            <w:tcW w:w="993" w:type="dxa"/>
            <w:textDirection w:val="lrTb"/>
            <w:noWrap w:val="false"/>
          </w:tcPr>
          <w:p>
            <w:pPr>
              <w:pBdr/>
              <w:spacing/>
              <w:ind/>
              <w:rPr>
                <w:rFonts w:ascii="Times New Roman" w:hAnsi="Times New Roman" w:cs="Times New Roman"/>
              </w:rPr>
            </w:pPr>
            <w:r>
              <w:rPr>
                <w:rFonts w:ascii="Times New Roman" w:hAnsi="Times New Roman" w:cs="Times New Roman"/>
              </w:rPr>
              <w:t xml:space="preserve">50,0</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50,0</w:t>
            </w:r>
            <w:r>
              <w:rPr>
                <w:rFonts w:ascii="Times New Roman" w:hAnsi="Times New Roman" w:cs="Times New Roman"/>
              </w:rPr>
            </w:r>
            <w:r>
              <w:rPr>
                <w:rFonts w:ascii="Times New Roman" w:hAnsi="Times New Roman" w:cs="Times New Roman"/>
              </w:rPr>
            </w:r>
          </w:p>
        </w:tc>
        <w:tc>
          <w:tcPr>
            <w:shd w:val="clear" w:color="auto" w:fill="auto"/>
            <w:tcBorders/>
            <w:tcW w:w="850" w:type="dxa"/>
            <w:textDirection w:val="lrTb"/>
            <w:noWrap w:val="false"/>
          </w:tcPr>
          <w:p>
            <w:pPr>
              <w:pBdr/>
              <w:spacing/>
              <w:ind/>
              <w:rPr>
                <w:rFonts w:ascii="Times New Roman" w:hAnsi="Times New Roman" w:cs="Times New Roman"/>
              </w:rPr>
            </w:pPr>
            <w:r>
              <w:rPr>
                <w:rFonts w:ascii="Times New Roman" w:hAnsi="Times New Roman" w:cs="Times New Roman"/>
              </w:rPr>
              <w:t xml:space="preserve">150,0</w:t>
            </w:r>
            <w:r>
              <w:rPr>
                <w:rFonts w:ascii="Times New Roman" w:hAnsi="Times New Roman" w:cs="Times New Roman"/>
              </w:rPr>
            </w:r>
            <w:r>
              <w:rPr>
                <w:rFonts w:ascii="Times New Roman" w:hAnsi="Times New Roman" w:cs="Times New Roman"/>
              </w:rPr>
            </w:r>
          </w:p>
        </w:tc>
        <w:tc>
          <w:tcPr>
            <w:shd w:val="clear" w:color="auto" w:fill="auto"/>
            <w:tcBorders/>
            <w:tcW w:w="2979" w:type="dxa"/>
            <w:textDirection w:val="lrTb"/>
            <w:noWrap w:val="false"/>
          </w:tcPr>
          <w:p>
            <w:pPr>
              <w:pBdr/>
              <w:spacing/>
              <w:ind/>
              <w:rPr>
                <w:rFonts w:ascii="Times New Roman" w:hAnsi="Times New Roman" w:cs="Times New Roman"/>
              </w:rPr>
            </w:pPr>
            <w:r>
              <w:rPr>
                <w:rFonts w:ascii="Times New Roman" w:hAnsi="Times New Roman" w:cs="Times New Roman"/>
              </w:rPr>
              <w:t xml:space="preserve">Люди з інвалідністю отримають можливість брати участь у громадському та мистецькому житті громади, не відчуваючи дискримінації за ознакою інвалідності</w:t>
            </w:r>
            <w:r>
              <w:rPr>
                <w:rFonts w:ascii="Times New Roman" w:hAnsi="Times New Roman" w:cs="Times New Roman"/>
              </w:rPr>
            </w:r>
            <w:r>
              <w:rPr>
                <w:rFonts w:ascii="Times New Roman" w:hAnsi="Times New Roman" w:cs="Times New Roman"/>
              </w:rPr>
            </w:r>
          </w:p>
        </w:tc>
      </w:tr>
      <w:tr>
        <w:trPr>
          <w:trHeight w:val="2628"/>
        </w:trPr>
        <w:tc>
          <w:tcPr>
            <w:shd w:val="clear" w:color="auto" w:fill="auto"/>
            <w:tcBorders/>
            <w:tcW w:w="1841" w:type="dxa"/>
            <w:vMerge w:val="restart"/>
            <w:textDirection w:val="lrTb"/>
            <w:noWrap w:val="false"/>
          </w:tcPr>
          <w:p>
            <w:pPr>
              <w:pBdr/>
              <w:spacing/>
              <w:ind/>
              <w:rPr>
                <w:rFonts w:ascii="Times New Roman" w:hAnsi="Times New Roman" w:cs="Times New Roman"/>
              </w:rPr>
            </w:pPr>
            <w:r>
              <w:rPr>
                <w:rFonts w:ascii="Times New Roman" w:hAnsi="Times New Roman" w:cs="Times New Roman"/>
              </w:rPr>
              <w:t xml:space="preserve">2.Забезпечення здійснення організаційних та правових заходів щодо об'єктів (пам'яток) культурної спадщини</w:t>
            </w:r>
            <w:r>
              <w:rPr>
                <w:rFonts w:ascii="Times New Roman" w:hAnsi="Times New Roman" w:cs="Times New Roman"/>
              </w:rPr>
            </w:r>
            <w:r>
              <w:rPr>
                <w:rFonts w:ascii="Times New Roman" w:hAnsi="Times New Roman" w:cs="Times New Roman"/>
              </w:rPr>
            </w:r>
          </w:p>
        </w:tc>
        <w:tc>
          <w:tcPr>
            <w:shd w:val="clear" w:color="auto" w:fill="auto"/>
            <w:tcBorders/>
            <w:tcW w:w="2408" w:type="dxa"/>
            <w:textDirection w:val="lrTb"/>
            <w:noWrap w:val="false"/>
          </w:tcPr>
          <w:p>
            <w:pPr>
              <w:pBdr/>
              <w:spacing/>
              <w:ind/>
              <w:rPr>
                <w:rFonts w:ascii="Times New Roman" w:hAnsi="Times New Roman" w:cs="Times New Roman"/>
              </w:rPr>
            </w:pPr>
            <w:r>
              <w:rPr>
                <w:rFonts w:ascii="Times New Roman" w:hAnsi="Times New Roman" w:cs="Times New Roman"/>
              </w:rPr>
              <w:t xml:space="preserve">2.2. Забезпечення проведення аналізу технічного стану об'єктів (пам'яток) культурної спадщини та підготовки пропозицій і проектів рішень щодо здійснення робіт на  об'єктах (пам'ятках) культурної спадщини.</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2025-2027</w:t>
            </w:r>
            <w:r>
              <w:rPr>
                <w:rFonts w:ascii="Times New Roman" w:hAnsi="Times New Roman" w:cs="Times New Roman"/>
              </w:rPr>
            </w:r>
            <w:r>
              <w:rPr>
                <w:rFonts w:ascii="Times New Roman" w:hAnsi="Times New Roman" w:cs="Times New Roman"/>
              </w:rPr>
            </w:r>
          </w:p>
        </w:tc>
        <w:tc>
          <w:tcPr>
            <w:shd w:val="clear" w:color="auto" w:fill="auto"/>
            <w:tcBorders/>
            <w:tcW w:w="1559" w:type="dxa"/>
            <w:textDirection w:val="lrTb"/>
            <w:noWrap w:val="false"/>
          </w:tcPr>
          <w:p>
            <w:pPr>
              <w:pBdr/>
              <w:spacing/>
              <w:ind/>
              <w:rPr>
                <w:rFonts w:ascii="Times New Roman" w:hAnsi="Times New Roman" w:cs="Times New Roman"/>
              </w:rPr>
            </w:pPr>
            <w:r>
              <w:rPr>
                <w:rFonts w:ascii="Times New Roman" w:hAnsi="Times New Roman" w:cs="Times New Roman"/>
              </w:rPr>
              <w:t xml:space="preserve">Відділ культури міської ради, КЗ «Менський краєзнавчий музей ім. В.Ф. Покотила»</w:t>
            </w:r>
            <w:r>
              <w:rPr>
                <w:rFonts w:ascii="Times New Roman" w:hAnsi="Times New Roman" w:cs="Times New Roman"/>
              </w:rPr>
            </w:r>
            <w:r>
              <w:rPr>
                <w:rFonts w:ascii="Times New Roman" w:hAnsi="Times New Roman" w:cs="Times New Roman"/>
              </w:rPr>
            </w:r>
          </w:p>
        </w:tc>
        <w:tc>
          <w:tcPr>
            <w:shd w:val="clear" w:color="auto" w:fill="auto"/>
            <w:tcBorders/>
            <w:tcW w:w="1845" w:type="dxa"/>
            <w:textDirection w:val="lrTb"/>
            <w:noWrap w:val="false"/>
          </w:tcPr>
          <w:p>
            <w:pPr>
              <w:pBdr/>
              <w:spacing/>
              <w:ind/>
              <w:rPr>
                <w:rFonts w:ascii="Times New Roman" w:hAnsi="Times New Roman" w:cs="Times New Roman"/>
              </w:rPr>
            </w:pPr>
            <w:r>
              <w:rPr>
                <w:rFonts w:ascii="Times New Roman" w:hAnsi="Times New Roman" w:cs="Times New Roman"/>
              </w:rPr>
              <w:t xml:space="preserve">Бюджет Менської міської територіальної громади, інші джерела, не заборонені законодавством</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993"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850"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2979" w:type="dxa"/>
            <w:textDirection w:val="lrTb"/>
            <w:noWrap w:val="false"/>
          </w:tcPr>
          <w:p>
            <w:pPr>
              <w:pBdr/>
              <w:spacing/>
              <w:ind/>
              <w:rPr>
                <w:rFonts w:ascii="Times New Roman" w:hAnsi="Times New Roman" w:cs="Times New Roman"/>
              </w:rPr>
            </w:pPr>
            <w:r>
              <w:rPr>
                <w:rFonts w:ascii="Times New Roman" w:hAnsi="Times New Roman" w:cs="Times New Roman"/>
              </w:rPr>
              <w:t xml:space="preserve">Проведення аналізу технічного стану об'єктів (пам'яток) культурної спадщини, які знаходяться у громаді та підготовки пропозицій і проектів рішень щодо здійснення робіт на  об'єктах (пам'ятках) культурної спадщини.</w:t>
            </w:r>
            <w:r>
              <w:rPr>
                <w:rFonts w:ascii="Times New Roman" w:hAnsi="Times New Roman" w:cs="Times New Roman"/>
              </w:rPr>
            </w:r>
            <w:r>
              <w:rPr>
                <w:rFonts w:ascii="Times New Roman" w:hAnsi="Times New Roman" w:cs="Times New Roman"/>
              </w:rPr>
            </w:r>
          </w:p>
        </w:tc>
      </w:tr>
      <w:tr>
        <w:trPr>
          <w:trHeight w:val="4096"/>
        </w:trPr>
        <w:tc>
          <w:tcPr>
            <w:shd w:val="clear" w:color="auto" w:fill="auto"/>
            <w:tcBorders/>
            <w:tcW w:w="1841" w:type="dxa"/>
            <w:vMerge w:val="continue"/>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2408" w:type="dxa"/>
            <w:textDirection w:val="lrTb"/>
            <w:noWrap w:val="false"/>
          </w:tcPr>
          <w:p>
            <w:pPr>
              <w:pBdr/>
              <w:spacing/>
              <w:ind/>
              <w:rPr>
                <w:rFonts w:ascii="Times New Roman" w:hAnsi="Times New Roman" w:cs="Times New Roman"/>
              </w:rPr>
            </w:pPr>
            <w:r>
              <w:rPr>
                <w:rFonts w:ascii="Times New Roman" w:hAnsi="Times New Roman" w:cs="Times New Roman"/>
              </w:rPr>
              <w:t xml:space="preserve">2.3. Організація роботи з дослідниками, науковцями, археологами, волонтерськими об'єднаннями щодо ро</w:t>
            </w:r>
            <w:r>
              <w:rPr>
                <w:rFonts w:ascii="Times New Roman" w:hAnsi="Times New Roman" w:cs="Times New Roman"/>
              </w:rPr>
              <w:t xml:space="preserve">боти по збереженню та дослідженню місць історичних поселень на території громади. Забезпечення громадського контролю за дотриманням законодавства та залучення громадськості до суспільно корисних робіт щодо благоустрою, прибирання та догляду за територіями </w:t>
            </w:r>
            <w:r>
              <w:rPr>
                <w:rFonts w:ascii="Times New Roman" w:hAnsi="Times New Roman" w:cs="Times New Roman"/>
              </w:rPr>
              <w:t xml:space="preserve">охоронних зон тими, які прилягають до пам'яток.</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2025-2027</w:t>
            </w:r>
            <w:r>
              <w:rPr>
                <w:rFonts w:ascii="Times New Roman" w:hAnsi="Times New Roman" w:cs="Times New Roman"/>
              </w:rPr>
            </w:r>
            <w:r>
              <w:rPr>
                <w:rFonts w:ascii="Times New Roman" w:hAnsi="Times New Roman" w:cs="Times New Roman"/>
              </w:rPr>
            </w:r>
          </w:p>
        </w:tc>
        <w:tc>
          <w:tcPr>
            <w:shd w:val="clear" w:color="auto" w:fill="auto"/>
            <w:tcBorders/>
            <w:tcW w:w="1559" w:type="dxa"/>
            <w:textDirection w:val="lrTb"/>
            <w:noWrap w:val="false"/>
          </w:tcPr>
          <w:p>
            <w:pPr>
              <w:pBdr/>
              <w:spacing/>
              <w:ind/>
              <w:rPr>
                <w:rFonts w:ascii="Times New Roman" w:hAnsi="Times New Roman" w:cs="Times New Roman"/>
              </w:rPr>
            </w:pPr>
            <w:r>
              <w:rPr>
                <w:rFonts w:ascii="Times New Roman" w:hAnsi="Times New Roman" w:cs="Times New Roman"/>
              </w:rPr>
              <w:t xml:space="preserve">Відділ культури міської ради,</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КЗ «Менський краєзнавчий музей ім. В.Ф. Покотила», Менський відділ Корюківської філії Чернігівського обласного центру зайнятості</w:t>
            </w:r>
            <w:r>
              <w:rPr>
                <w:rFonts w:ascii="Times New Roman" w:hAnsi="Times New Roman" w:cs="Times New Roman"/>
              </w:rPr>
            </w:r>
            <w:r>
              <w:rPr>
                <w:rFonts w:ascii="Times New Roman" w:hAnsi="Times New Roman" w:cs="Times New Roman"/>
              </w:rPr>
            </w:r>
          </w:p>
        </w:tc>
        <w:tc>
          <w:tcPr>
            <w:shd w:val="clear" w:color="auto" w:fill="auto"/>
            <w:tcBorders/>
            <w:tcW w:w="1845" w:type="dxa"/>
            <w:textDirection w:val="lrTb"/>
            <w:noWrap w:val="false"/>
          </w:tcPr>
          <w:p>
            <w:pPr>
              <w:pBdr/>
              <w:spacing/>
              <w:ind/>
              <w:rPr>
                <w:rFonts w:ascii="Times New Roman" w:hAnsi="Times New Roman" w:cs="Times New Roman"/>
              </w:rPr>
            </w:pPr>
            <w:r>
              <w:rPr>
                <w:rFonts w:ascii="Times New Roman" w:hAnsi="Times New Roman" w:cs="Times New Roman"/>
              </w:rPr>
              <w:t xml:space="preserve">Бюджет Менської міської територіальної громади, інші джерела, не заборонені законодавством</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993"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850"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2979" w:type="dxa"/>
            <w:textDirection w:val="lrTb"/>
            <w:noWrap w:val="false"/>
          </w:tcPr>
          <w:p>
            <w:pPr>
              <w:pBdr/>
              <w:spacing/>
              <w:ind/>
              <w:rPr>
                <w:rFonts w:ascii="Times New Roman" w:hAnsi="Times New Roman" w:cs="Times New Roman"/>
              </w:rPr>
            </w:pPr>
            <w:r>
              <w:rPr>
                <w:rFonts w:ascii="Times New Roman" w:hAnsi="Times New Roman" w:cs="Times New Roman"/>
              </w:rPr>
              <w:t xml:space="preserve">Дослідники, науковці, археологи, волонтерські об'єднання будуть  брати участь у роботі по збереженню та дослідження місць історичних поселень на території громади.</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Залучено широкі верстви громадськості до суспільно корисних робіт з благоустрою, прибирання та догляду за територіями охоронних зон, які прилягають до пам'яток</w:t>
            </w:r>
            <w:r>
              <w:rPr>
                <w:rFonts w:ascii="Times New Roman" w:hAnsi="Times New Roman" w:cs="Times New Roman"/>
              </w:rPr>
            </w:r>
            <w:r>
              <w:rPr>
                <w:rFonts w:ascii="Times New Roman" w:hAnsi="Times New Roman" w:cs="Times New Roman"/>
              </w:rPr>
            </w:r>
          </w:p>
        </w:tc>
      </w:tr>
      <w:tr>
        <w:trPr>
          <w:trHeight w:val="3053"/>
        </w:trPr>
        <w:tc>
          <w:tcPr>
            <w:shd w:val="clear" w:color="auto" w:fill="auto"/>
            <w:tcBorders/>
            <w:tcW w:w="1841" w:type="dxa"/>
            <w:vMerge w:val="restart"/>
            <w:textDirection w:val="lrTb"/>
            <w:noWrap w:val="false"/>
          </w:tcPr>
          <w:p>
            <w:pPr>
              <w:pBdr/>
              <w:spacing/>
              <w:ind/>
              <w:rPr>
                <w:rFonts w:ascii="Times New Roman" w:hAnsi="Times New Roman" w:cs="Times New Roman"/>
              </w:rPr>
            </w:pPr>
            <w:r>
              <w:rPr>
                <w:rFonts w:ascii="Times New Roman" w:hAnsi="Times New Roman" w:cs="Times New Roman"/>
              </w:rPr>
              <w:t xml:space="preserve">3.Забезпечення проведення інформаційної роботи та налагодження дієвого зв'язку з громадськістю щодо охорони культурної спадщини та впровадження спільних заходів щодо </w:t>
            </w:r>
            <w:r>
              <w:rPr>
                <w:rFonts w:ascii="Times New Roman" w:hAnsi="Times New Roman" w:cs="Times New Roman"/>
              </w:rPr>
              <w:t xml:space="preserve">популяризації даної діяльності.</w:t>
            </w:r>
            <w:r>
              <w:rPr>
                <w:rFonts w:ascii="Times New Roman" w:hAnsi="Times New Roman" w:cs="Times New Roman"/>
              </w:rPr>
            </w:r>
            <w:r>
              <w:rPr>
                <w:rFonts w:ascii="Times New Roman" w:hAnsi="Times New Roman" w:cs="Times New Roman"/>
              </w:rPr>
            </w:r>
          </w:p>
        </w:tc>
        <w:tc>
          <w:tcPr>
            <w:shd w:val="clear" w:color="auto" w:fill="auto"/>
            <w:tcBorders/>
            <w:tcW w:w="2408" w:type="dxa"/>
            <w:textDirection w:val="lrTb"/>
            <w:noWrap w:val="false"/>
          </w:tcPr>
          <w:p>
            <w:pPr>
              <w:pBdr/>
              <w:spacing/>
              <w:ind/>
              <w:rPr>
                <w:rFonts w:ascii="Times New Roman" w:hAnsi="Times New Roman" w:cs="Times New Roman"/>
              </w:rPr>
            </w:pPr>
            <w:r>
              <w:rPr>
                <w:rFonts w:ascii="Times New Roman" w:hAnsi="Times New Roman" w:cs="Times New Roman"/>
              </w:rPr>
              <w:t xml:space="preserve">3.1. Забезпечення інформування громадськості щодо охорони культурної спадщини та впровадження спільних заходів щодо популяризації даної діяльності шляхом розміщення інформації на інтернет-ресурсах та в соціальних мережах.</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2025-2027</w:t>
            </w:r>
            <w:r>
              <w:rPr>
                <w:rFonts w:ascii="Times New Roman" w:hAnsi="Times New Roman" w:cs="Times New Roman"/>
              </w:rPr>
            </w:r>
            <w:r>
              <w:rPr>
                <w:rFonts w:ascii="Times New Roman" w:hAnsi="Times New Roman" w:cs="Times New Roman"/>
              </w:rPr>
            </w:r>
          </w:p>
        </w:tc>
        <w:tc>
          <w:tcPr>
            <w:shd w:val="clear" w:color="auto" w:fill="auto"/>
            <w:tcBorders/>
            <w:tcW w:w="1559" w:type="dxa"/>
            <w:textDirection w:val="lrTb"/>
            <w:noWrap w:val="false"/>
          </w:tcPr>
          <w:p>
            <w:pPr>
              <w:pBdr/>
              <w:spacing/>
              <w:ind/>
              <w:rPr>
                <w:rFonts w:ascii="Times New Roman" w:hAnsi="Times New Roman" w:cs="Times New Roman"/>
              </w:rPr>
            </w:pPr>
            <w:r>
              <w:rPr>
                <w:rFonts w:ascii="Times New Roman" w:hAnsi="Times New Roman" w:cs="Times New Roman"/>
              </w:rPr>
              <w:t xml:space="preserve">Відділ культури міської ради,</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КЗ «Менський краєзнавчий музей ім. В.Ф. Покотила»</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r>
            <w:r>
              <w:rPr>
                <w:rFonts w:ascii="Times New Roman" w:hAnsi="Times New Roman" w:cs="Times New Roman"/>
              </w:rPr>
            </w:r>
          </w:p>
        </w:tc>
        <w:tc>
          <w:tcPr>
            <w:shd w:val="clear" w:color="auto" w:fill="auto"/>
            <w:tcBorders/>
            <w:tcW w:w="1845" w:type="dxa"/>
            <w:textDirection w:val="lrTb"/>
            <w:noWrap w:val="false"/>
          </w:tcPr>
          <w:p>
            <w:pPr>
              <w:pBdr/>
              <w:spacing/>
              <w:ind/>
              <w:rPr>
                <w:rFonts w:ascii="Times New Roman" w:hAnsi="Times New Roman" w:cs="Times New Roman"/>
              </w:rPr>
            </w:pPr>
            <w:r>
              <w:rPr>
                <w:rFonts w:ascii="Times New Roman" w:hAnsi="Times New Roman" w:cs="Times New Roman"/>
              </w:rPr>
              <w:t xml:space="preserve">Бюджет Менської міської територіальної громади, інші джерела, не заборонені законодавством</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993"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850" w:type="dxa"/>
            <w:textDirection w:val="lrTb"/>
            <w:noWrap w:val="false"/>
          </w:tcPr>
          <w:p>
            <w:pPr>
              <w:pBdr/>
              <w:spacing/>
              <w:ind/>
              <w:rPr>
                <w:rFonts w:ascii="Times New Roman" w:hAnsi="Times New Roman" w:cs="Times New Roman"/>
              </w:rPr>
            </w:pPr>
            <w:r>
              <w:rPr>
                <w:rFonts w:ascii="Times New Roman" w:hAnsi="Times New Roman" w:cs="Times New Roman"/>
              </w:rPr>
              <w:t xml:space="preserve">0,0</w:t>
            </w:r>
            <w:r>
              <w:rPr>
                <w:rFonts w:ascii="Times New Roman" w:hAnsi="Times New Roman" w:cs="Times New Roman"/>
              </w:rPr>
            </w:r>
            <w:r>
              <w:rPr>
                <w:rFonts w:ascii="Times New Roman" w:hAnsi="Times New Roman" w:cs="Times New Roman"/>
              </w:rPr>
            </w:r>
          </w:p>
        </w:tc>
        <w:tc>
          <w:tcPr>
            <w:shd w:val="clear" w:color="auto" w:fill="auto"/>
            <w:tcBorders/>
            <w:tcW w:w="2979" w:type="dxa"/>
            <w:textDirection w:val="lrTb"/>
            <w:noWrap w:val="false"/>
          </w:tcPr>
          <w:p>
            <w:pPr>
              <w:pBdr/>
              <w:spacing/>
              <w:ind/>
              <w:rPr>
                <w:rFonts w:ascii="Times New Roman" w:hAnsi="Times New Roman" w:cs="Times New Roman"/>
              </w:rPr>
            </w:pPr>
            <w:r>
              <w:rPr>
                <w:rFonts w:ascii="Times New Roman" w:hAnsi="Times New Roman" w:cs="Times New Roman"/>
              </w:rPr>
              <w:t xml:space="preserve">Здійснено заходи щодо інформування громадськості щодо охорони культурної спадщини та впровадження спільних заходів щодо популяризації даної діяльності шляхом розміщення інформації на дружніх інтернет-ресурсах та в соціальних мережах.</w:t>
            </w:r>
            <w:r>
              <w:rPr>
                <w:rFonts w:ascii="Times New Roman" w:hAnsi="Times New Roman" w:cs="Times New Roman"/>
              </w:rPr>
            </w:r>
            <w:r>
              <w:rPr>
                <w:rFonts w:ascii="Times New Roman" w:hAnsi="Times New Roman" w:cs="Times New Roman"/>
              </w:rPr>
            </w:r>
          </w:p>
        </w:tc>
      </w:tr>
      <w:tr>
        <w:trPr>
          <w:trHeight w:val="4520"/>
        </w:trPr>
        <w:tc>
          <w:tcPr>
            <w:shd w:val="clear" w:color="auto" w:fill="auto"/>
            <w:tcBorders/>
            <w:tcW w:w="1841" w:type="dxa"/>
            <w:vMerge w:val="continue"/>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2408" w:type="dxa"/>
            <w:textDirection w:val="lrTb"/>
            <w:noWrap w:val="false"/>
          </w:tcPr>
          <w:p>
            <w:pPr>
              <w:pBdr/>
              <w:spacing/>
              <w:ind/>
              <w:rPr>
                <w:rFonts w:ascii="Times New Roman" w:hAnsi="Times New Roman" w:cs="Times New Roman"/>
              </w:rPr>
            </w:pPr>
            <w:r>
              <w:rPr>
                <w:rFonts w:ascii="Times New Roman" w:hAnsi="Times New Roman" w:cs="Times New Roman"/>
              </w:rPr>
              <w:t xml:space="preserve">3.2. Здійснення заходів щодо розви</w:t>
            </w:r>
            <w:r>
              <w:rPr>
                <w:rFonts w:ascii="Times New Roman" w:hAnsi="Times New Roman" w:cs="Times New Roman"/>
              </w:rPr>
              <w:t xml:space="preserve">тку інформування громадськості щодо охорони культурної спадщини шляхом придбання та встановлення охоронних дошок, знаків, відповідних вказівників та інформаційних щитів. Маркування об'єктів культурної спадщини, що входять до туристичних маршрутів громадою.</w:t>
            </w:r>
            <w:r>
              <w:rPr>
                <w:rFonts w:ascii="Times New Roman" w:hAnsi="Times New Roman" w:cs="Times New Roman"/>
                <w:bCs/>
              </w:rPr>
              <w:t xml:space="preserve"> </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2025-2027</w:t>
            </w:r>
            <w:r>
              <w:rPr>
                <w:rFonts w:ascii="Times New Roman" w:hAnsi="Times New Roman" w:cs="Times New Roman"/>
              </w:rPr>
            </w:r>
            <w:r>
              <w:rPr>
                <w:rFonts w:ascii="Times New Roman" w:hAnsi="Times New Roman" w:cs="Times New Roman"/>
              </w:rPr>
            </w:r>
          </w:p>
        </w:tc>
        <w:tc>
          <w:tcPr>
            <w:shd w:val="clear" w:color="auto" w:fill="auto"/>
            <w:tcBorders/>
            <w:tcW w:w="1559" w:type="dxa"/>
            <w:textDirection w:val="lrTb"/>
            <w:noWrap w:val="false"/>
          </w:tcPr>
          <w:p>
            <w:pPr>
              <w:pBdr/>
              <w:spacing/>
              <w:ind/>
              <w:rPr>
                <w:rFonts w:ascii="Times New Roman" w:hAnsi="Times New Roman" w:cs="Times New Roman"/>
              </w:rPr>
            </w:pPr>
            <w:r>
              <w:rPr>
                <w:rFonts w:ascii="Times New Roman" w:hAnsi="Times New Roman" w:cs="Times New Roman"/>
              </w:rPr>
              <w:t xml:space="preserve">Відділ культури Менської міської ради, КЗ «Менський краєзнавчий музей ім. В.Ф. Покотила»  </w:t>
            </w:r>
            <w:r>
              <w:rPr>
                <w:rFonts w:ascii="Times New Roman" w:hAnsi="Times New Roman" w:cs="Times New Roman"/>
              </w:rPr>
            </w:r>
            <w:r>
              <w:rPr>
                <w:rFonts w:ascii="Times New Roman" w:hAnsi="Times New Roman" w:cs="Times New Roman"/>
              </w:rPr>
            </w:r>
          </w:p>
        </w:tc>
        <w:tc>
          <w:tcPr>
            <w:shd w:val="clear" w:color="auto" w:fill="auto"/>
            <w:tcBorders/>
            <w:tcW w:w="1845" w:type="dxa"/>
            <w:textDirection w:val="lrTb"/>
            <w:noWrap w:val="false"/>
          </w:tcPr>
          <w:p>
            <w:pPr>
              <w:pBdr/>
              <w:spacing/>
              <w:ind/>
              <w:rPr>
                <w:rFonts w:ascii="Times New Roman" w:hAnsi="Times New Roman" w:cs="Times New Roman"/>
              </w:rPr>
            </w:pPr>
            <w:r>
              <w:rPr>
                <w:rFonts w:ascii="Times New Roman" w:hAnsi="Times New Roman" w:cs="Times New Roman"/>
              </w:rPr>
              <w:t xml:space="preserve">Бюджет Менської міської територіальної громади, інші джерела, не заборонені законодавством</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20,0</w:t>
            </w:r>
            <w:r>
              <w:rPr>
                <w:rFonts w:ascii="Times New Roman" w:hAnsi="Times New Roman" w:cs="Times New Roman"/>
              </w:rPr>
            </w:r>
            <w:r>
              <w:rPr>
                <w:rFonts w:ascii="Times New Roman" w:hAnsi="Times New Roman" w:cs="Times New Roman"/>
              </w:rPr>
            </w:r>
          </w:p>
        </w:tc>
        <w:tc>
          <w:tcPr>
            <w:shd w:val="clear" w:color="auto" w:fill="auto"/>
            <w:tcBorders/>
            <w:tcW w:w="993" w:type="dxa"/>
            <w:textDirection w:val="lrTb"/>
            <w:noWrap w:val="false"/>
          </w:tcPr>
          <w:p>
            <w:pPr>
              <w:pBdr/>
              <w:spacing/>
              <w:ind/>
              <w:rPr>
                <w:rFonts w:ascii="Times New Roman" w:hAnsi="Times New Roman" w:cs="Times New Roman"/>
              </w:rPr>
            </w:pPr>
            <w:r>
              <w:rPr>
                <w:rFonts w:ascii="Times New Roman" w:hAnsi="Times New Roman" w:cs="Times New Roman"/>
              </w:rPr>
              <w:t xml:space="preserve">20,0</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20,0</w:t>
            </w:r>
            <w:r>
              <w:rPr>
                <w:rFonts w:ascii="Times New Roman" w:hAnsi="Times New Roman" w:cs="Times New Roman"/>
              </w:rPr>
            </w:r>
            <w:r>
              <w:rPr>
                <w:rFonts w:ascii="Times New Roman" w:hAnsi="Times New Roman" w:cs="Times New Roman"/>
              </w:rPr>
            </w:r>
          </w:p>
        </w:tc>
        <w:tc>
          <w:tcPr>
            <w:shd w:val="clear" w:color="auto" w:fill="auto"/>
            <w:tcBorders/>
            <w:tcW w:w="850" w:type="dxa"/>
            <w:textDirection w:val="lrTb"/>
            <w:noWrap w:val="false"/>
          </w:tcPr>
          <w:p>
            <w:pPr>
              <w:pBdr/>
              <w:spacing/>
              <w:ind/>
              <w:rPr>
                <w:rFonts w:ascii="Times New Roman" w:hAnsi="Times New Roman" w:cs="Times New Roman"/>
              </w:rPr>
            </w:pPr>
            <w:r>
              <w:rPr>
                <w:rFonts w:ascii="Times New Roman" w:hAnsi="Times New Roman" w:cs="Times New Roman"/>
              </w:rPr>
              <w:t xml:space="preserve">60,0</w:t>
            </w:r>
            <w:r>
              <w:rPr>
                <w:rFonts w:ascii="Times New Roman" w:hAnsi="Times New Roman" w:cs="Times New Roman"/>
              </w:rPr>
            </w:r>
            <w:r>
              <w:rPr>
                <w:rFonts w:ascii="Times New Roman" w:hAnsi="Times New Roman" w:cs="Times New Roman"/>
              </w:rPr>
            </w:r>
          </w:p>
        </w:tc>
        <w:tc>
          <w:tcPr>
            <w:shd w:val="clear" w:color="auto" w:fill="auto"/>
            <w:tcBorders/>
            <w:tcW w:w="2979" w:type="dxa"/>
            <w:textDirection w:val="lrTb"/>
            <w:noWrap w:val="false"/>
          </w:tcPr>
          <w:p>
            <w:pPr>
              <w:pBdr/>
              <w:spacing/>
              <w:ind/>
              <w:rPr>
                <w:rFonts w:ascii="Times New Roman" w:hAnsi="Times New Roman" w:cs="Times New Roman"/>
              </w:rPr>
            </w:pPr>
            <w:r>
              <w:rPr>
                <w:rFonts w:ascii="Times New Roman" w:hAnsi="Times New Roman" w:cs="Times New Roman"/>
              </w:rPr>
              <w:t xml:space="preserve">Проведення заходів з популяриза</w:t>
            </w:r>
            <w:r>
              <w:rPr>
                <w:rFonts w:ascii="Times New Roman" w:hAnsi="Times New Roman" w:cs="Times New Roman"/>
              </w:rPr>
              <w:t xml:space="preserve">ції духовних надбань, організації охорони культурної спадщини та зміцнення культурно- національних традицій, підвищення рівня організації культурної обізнаності  населення щодо необхідності збереження культурної спадщини, традицій, нерухомих пам'яток тощо.</w:t>
            </w:r>
            <w:r>
              <w:rPr>
                <w:rFonts w:ascii="Times New Roman" w:hAnsi="Times New Roman" w:cs="Times New Roman"/>
              </w:rPr>
            </w:r>
            <w:r>
              <w:rPr>
                <w:rFonts w:ascii="Times New Roman" w:hAnsi="Times New Roman" w:cs="Times New Roman"/>
              </w:rPr>
            </w:r>
          </w:p>
        </w:tc>
      </w:tr>
      <w:tr>
        <w:trPr/>
        <w:tc>
          <w:tcPr>
            <w:shd w:val="clear" w:color="auto" w:fill="auto"/>
            <w:tcBorders/>
            <w:tcW w:w="1841" w:type="dxa"/>
            <w:textDirection w:val="lrTb"/>
            <w:noWrap w:val="false"/>
          </w:tcPr>
          <w:p>
            <w:pPr>
              <w:pBdr/>
              <w:spacing/>
              <w:ind/>
              <w:rPr>
                <w:rFonts w:ascii="Times New Roman" w:hAnsi="Times New Roman" w:cs="Times New Roman"/>
              </w:rPr>
            </w:pPr>
            <w:r>
              <w:rPr>
                <w:rFonts w:ascii="Times New Roman" w:hAnsi="Times New Roman" w:cs="Times New Roman"/>
              </w:rPr>
              <w:t xml:space="preserve">4.Організація заходів з перепідготовки, підвищення кваліфікації та освітніх поїздок з метою переймання досвіду та кращих зразків організації охорони культурної спадщини в інших громадах України та поза її межами.</w:t>
            </w:r>
            <w:r>
              <w:rPr>
                <w:rFonts w:ascii="Times New Roman" w:hAnsi="Times New Roman" w:cs="Times New Roman"/>
              </w:rPr>
            </w:r>
            <w:r>
              <w:rPr>
                <w:rFonts w:ascii="Times New Roman" w:hAnsi="Times New Roman" w:cs="Times New Roman"/>
              </w:rPr>
            </w:r>
          </w:p>
        </w:tc>
        <w:tc>
          <w:tcPr>
            <w:shd w:val="clear" w:color="auto" w:fill="auto"/>
            <w:tcBorders/>
            <w:tcW w:w="2408" w:type="dxa"/>
            <w:textDirection w:val="lrTb"/>
            <w:noWrap w:val="false"/>
          </w:tcPr>
          <w:p>
            <w:pPr>
              <w:pBdr/>
              <w:spacing/>
              <w:ind/>
              <w:rPr>
                <w:rFonts w:ascii="Times New Roman" w:hAnsi="Times New Roman" w:cs="Times New Roman"/>
              </w:rPr>
            </w:pPr>
            <w:r>
              <w:rPr>
                <w:rFonts w:ascii="Times New Roman" w:hAnsi="Times New Roman" w:cs="Times New Roman"/>
              </w:rPr>
              <w:t xml:space="preserve">4.1. Забезпечення  освітніх поїздок з метою переймання досвіду та кращих зразків організації охорони культурної спадщини в інших громадах України та поза її межами.</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 </w:t>
            </w:r>
            <w:r>
              <w:rPr>
                <w:rFonts w:ascii="Times New Roman" w:hAnsi="Times New Roman" w:cs="Times New Roman"/>
                <w:bCs/>
              </w:rPr>
              <w:t xml:space="preserve">Видання друкованих матеріалів: путівників, буклетів, часописів,</w:t>
            </w:r>
            <w:r>
              <w:rPr>
                <w:rFonts w:ascii="Times New Roman" w:hAnsi="Times New Roman" w:cs="Times New Roman"/>
              </w:rPr>
              <w:t xml:space="preserve"> які дотичні до справи збереження, охорони та популяризації </w:t>
            </w:r>
            <w:r>
              <w:rPr>
                <w:rFonts w:ascii="Times New Roman" w:hAnsi="Times New Roman" w:cs="Times New Roman"/>
              </w:rPr>
              <w:t xml:space="preserve">культурної спадщини громади.</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2025-2027</w:t>
            </w:r>
            <w:r>
              <w:rPr>
                <w:rFonts w:ascii="Times New Roman" w:hAnsi="Times New Roman" w:cs="Times New Roman"/>
              </w:rPr>
            </w:r>
            <w:r>
              <w:rPr>
                <w:rFonts w:ascii="Times New Roman" w:hAnsi="Times New Roman" w:cs="Times New Roman"/>
              </w:rPr>
            </w:r>
          </w:p>
        </w:tc>
        <w:tc>
          <w:tcPr>
            <w:shd w:val="clear" w:color="auto" w:fill="auto"/>
            <w:tcBorders/>
            <w:tcW w:w="1559" w:type="dxa"/>
            <w:textDirection w:val="lrTb"/>
            <w:noWrap w:val="false"/>
          </w:tcPr>
          <w:p>
            <w:pPr>
              <w:pBdr/>
              <w:spacing/>
              <w:ind/>
              <w:rPr>
                <w:rFonts w:ascii="Times New Roman" w:hAnsi="Times New Roman" w:cs="Times New Roman"/>
              </w:rPr>
            </w:pPr>
            <w:r>
              <w:rPr>
                <w:rFonts w:ascii="Times New Roman" w:hAnsi="Times New Roman" w:cs="Times New Roman"/>
              </w:rPr>
              <w:t xml:space="preserve">Відділ культури міської ради,</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 КЗ «Менський краєзнавчий музей ім. В.Ф. Покотила»</w:t>
            </w:r>
            <w:r>
              <w:rPr>
                <w:rFonts w:ascii="Times New Roman" w:hAnsi="Times New Roman" w:cs="Times New Roman"/>
              </w:rPr>
            </w:r>
            <w:r>
              <w:rPr>
                <w:rFonts w:ascii="Times New Roman" w:hAnsi="Times New Roman" w:cs="Times New Roman"/>
              </w:rPr>
            </w:r>
          </w:p>
        </w:tc>
        <w:tc>
          <w:tcPr>
            <w:shd w:val="clear" w:color="auto" w:fill="auto"/>
            <w:tcBorders/>
            <w:tcW w:w="1845" w:type="dxa"/>
            <w:textDirection w:val="lrTb"/>
            <w:noWrap w:val="false"/>
          </w:tcPr>
          <w:p>
            <w:pPr>
              <w:pBdr/>
              <w:spacing/>
              <w:ind/>
              <w:rPr>
                <w:rFonts w:ascii="Times New Roman" w:hAnsi="Times New Roman" w:cs="Times New Roman"/>
              </w:rPr>
            </w:pPr>
            <w:r>
              <w:rPr>
                <w:rFonts w:ascii="Times New Roman" w:hAnsi="Times New Roman" w:cs="Times New Roman"/>
              </w:rPr>
              <w:t xml:space="preserve">Бюджет Менської міської територіальної громади, інші джерела, не заборонені законодавством</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20,0</w:t>
            </w:r>
            <w:r>
              <w:rPr>
                <w:rFonts w:ascii="Times New Roman" w:hAnsi="Times New Roman" w:cs="Times New Roman"/>
              </w:rPr>
            </w:r>
            <w:r>
              <w:rPr>
                <w:rFonts w:ascii="Times New Roman" w:hAnsi="Times New Roman" w:cs="Times New Roman"/>
              </w:rPr>
            </w:r>
          </w:p>
        </w:tc>
        <w:tc>
          <w:tcPr>
            <w:shd w:val="clear" w:color="auto" w:fill="auto"/>
            <w:tcBorders/>
            <w:tcW w:w="993" w:type="dxa"/>
            <w:textDirection w:val="lrTb"/>
            <w:noWrap w:val="false"/>
          </w:tcPr>
          <w:p>
            <w:pPr>
              <w:pBdr/>
              <w:spacing/>
              <w:ind/>
              <w:rPr>
                <w:rFonts w:ascii="Times New Roman" w:hAnsi="Times New Roman" w:cs="Times New Roman"/>
              </w:rPr>
            </w:pPr>
            <w:r>
              <w:rPr>
                <w:rFonts w:ascii="Times New Roman" w:hAnsi="Times New Roman" w:cs="Times New Roman"/>
              </w:rPr>
              <w:t xml:space="preserve">20,0</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20,0</w:t>
            </w:r>
            <w:r>
              <w:rPr>
                <w:rFonts w:ascii="Times New Roman" w:hAnsi="Times New Roman" w:cs="Times New Roman"/>
              </w:rPr>
            </w:r>
            <w:r>
              <w:rPr>
                <w:rFonts w:ascii="Times New Roman" w:hAnsi="Times New Roman" w:cs="Times New Roman"/>
              </w:rPr>
            </w:r>
          </w:p>
        </w:tc>
        <w:tc>
          <w:tcPr>
            <w:shd w:val="clear" w:color="auto" w:fill="auto"/>
            <w:tcBorders/>
            <w:tcW w:w="850" w:type="dxa"/>
            <w:textDirection w:val="lrTb"/>
            <w:noWrap w:val="false"/>
          </w:tcPr>
          <w:p>
            <w:pPr>
              <w:pBdr/>
              <w:spacing/>
              <w:ind/>
              <w:rPr>
                <w:rFonts w:ascii="Times New Roman" w:hAnsi="Times New Roman" w:cs="Times New Roman"/>
              </w:rPr>
            </w:pPr>
            <w:r>
              <w:rPr>
                <w:rFonts w:ascii="Times New Roman" w:hAnsi="Times New Roman" w:cs="Times New Roman"/>
              </w:rPr>
              <w:t xml:space="preserve">60,0</w:t>
            </w:r>
            <w:r>
              <w:rPr>
                <w:rFonts w:ascii="Times New Roman" w:hAnsi="Times New Roman" w:cs="Times New Roman"/>
              </w:rPr>
            </w:r>
            <w:r>
              <w:rPr>
                <w:rFonts w:ascii="Times New Roman" w:hAnsi="Times New Roman" w:cs="Times New Roman"/>
              </w:rPr>
            </w:r>
          </w:p>
        </w:tc>
        <w:tc>
          <w:tcPr>
            <w:shd w:val="clear" w:color="auto" w:fill="auto"/>
            <w:tcBorders/>
            <w:tcW w:w="2979" w:type="dxa"/>
            <w:textDirection w:val="lrTb"/>
            <w:noWrap w:val="false"/>
          </w:tcPr>
          <w:p>
            <w:pPr>
              <w:pBdr/>
              <w:spacing/>
              <w:ind/>
              <w:rPr>
                <w:rFonts w:ascii="Times New Roman" w:hAnsi="Times New Roman" w:cs="Times New Roman"/>
              </w:rPr>
            </w:pPr>
            <w:r>
              <w:rPr>
                <w:rFonts w:ascii="Times New Roman" w:hAnsi="Times New Roman" w:cs="Times New Roman"/>
              </w:rPr>
              <w:t xml:space="preserve">Перепідготовка та підвищення кваліфікації працівників, які працюють у галузі охорони культурної спадщини, або дотичні до неї.</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Видано посібник для зацікавлених осіб у кількості 50 примірників. Проведено семінарське заняття для працівників закладів культури громади.</w:t>
            </w:r>
            <w:r>
              <w:rPr>
                <w:rFonts w:ascii="Times New Roman" w:hAnsi="Times New Roman" w:cs="Times New Roman"/>
              </w:rPr>
            </w:r>
            <w:r>
              <w:rPr>
                <w:rFonts w:ascii="Times New Roman" w:hAnsi="Times New Roman" w:cs="Times New Roman"/>
              </w:rPr>
            </w:r>
          </w:p>
        </w:tc>
      </w:tr>
      <w:tr>
        <w:trPr/>
        <w:tc>
          <w:tcPr>
            <w:shd w:val="clear" w:color="auto" w:fill="auto"/>
            <w:tcBorders/>
            <w:tcW w:w="1841" w:type="dxa"/>
            <w:textDirection w:val="lrTb"/>
            <w:noWrap w:val="false"/>
          </w:tcPr>
          <w:p>
            <w:pPr>
              <w:pBdr/>
              <w:spacing/>
              <w:ind/>
              <w:rPr>
                <w:rFonts w:ascii="Times New Roman" w:hAnsi="Times New Roman" w:cs="Times New Roman"/>
              </w:rPr>
            </w:pPr>
            <w:r>
              <w:rPr>
                <w:rFonts w:ascii="Times New Roman" w:hAnsi="Times New Roman" w:cs="Times New Roman"/>
              </w:rPr>
              <w:t xml:space="preserve">5.Популяризація нематеріальної культурної спадщини Менського краю</w:t>
            </w:r>
            <w:r>
              <w:rPr>
                <w:rFonts w:ascii="Times New Roman" w:hAnsi="Times New Roman" w:cs="Times New Roman"/>
              </w:rPr>
            </w:r>
            <w:r>
              <w:rPr>
                <w:rFonts w:ascii="Times New Roman" w:hAnsi="Times New Roman" w:cs="Times New Roman"/>
              </w:rPr>
            </w:r>
          </w:p>
        </w:tc>
        <w:tc>
          <w:tcPr>
            <w:shd w:val="clear" w:color="auto" w:fill="ffffff"/>
            <w:tcBorders/>
            <w:tcW w:w="2408" w:type="dxa"/>
            <w:textDirection w:val="lrTb"/>
            <w:noWrap w:val="false"/>
          </w:tcPr>
          <w:p>
            <w:pPr>
              <w:pBdr/>
              <w:spacing/>
              <w:ind/>
              <w:rPr>
                <w:rFonts w:ascii="Times New Roman" w:hAnsi="Times New Roman" w:cs="Times New Roman"/>
              </w:rPr>
            </w:pPr>
            <w:r>
              <w:rPr>
                <w:rFonts w:ascii="Times New Roman" w:hAnsi="Times New Roman" w:cs="Times New Roman"/>
              </w:rPr>
              <w:t xml:space="preserve">5.1. Виявлення та просування елементів нематеріальної культурної спадщини Менщини до Національного реєстру елементів нематеріальної культурної спадщини України  (гастроспадщина, регіональна автентична творчість, ремесла, обряди та традиції)</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1559" w:type="dxa"/>
            <w:vMerge w:val="restart"/>
            <w:textDirection w:val="lrTb"/>
            <w:noWrap w:val="false"/>
          </w:tcPr>
          <w:p>
            <w:pPr>
              <w:pBdr/>
              <w:spacing/>
              <w:ind/>
              <w:rPr>
                <w:rFonts w:ascii="Times New Roman" w:hAnsi="Times New Roman" w:cs="Times New Roman"/>
              </w:rPr>
            </w:pPr>
            <w:r>
              <w:rPr>
                <w:rFonts w:ascii="Times New Roman" w:hAnsi="Times New Roman" w:cs="Times New Roman"/>
              </w:rPr>
              <w:t xml:space="preserve">Відділ культури міської ради,</w:t>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t xml:space="preserve"> КЗ «Менський краєзнавчий музей ім. В.Ф. Покотила»</w:t>
            </w:r>
            <w:r>
              <w:rPr>
                <w:rFonts w:ascii="Times New Roman" w:hAnsi="Times New Roman" w:cs="Times New Roman"/>
              </w:rPr>
            </w:r>
            <w:r>
              <w:rPr>
                <w:rFonts w:ascii="Times New Roman" w:hAnsi="Times New Roman" w:cs="Times New Roman"/>
              </w:rPr>
            </w:r>
          </w:p>
        </w:tc>
        <w:tc>
          <w:tcPr>
            <w:shd w:val="clear" w:color="auto" w:fill="auto"/>
            <w:tcBorders/>
            <w:tcW w:w="1845" w:type="dxa"/>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20,0</w:t>
            </w:r>
            <w:r>
              <w:rPr>
                <w:rFonts w:ascii="Times New Roman" w:hAnsi="Times New Roman" w:cs="Times New Roman"/>
              </w:rPr>
            </w:r>
            <w:r>
              <w:rPr>
                <w:rFonts w:ascii="Times New Roman" w:hAnsi="Times New Roman" w:cs="Times New Roman"/>
              </w:rPr>
            </w:r>
          </w:p>
        </w:tc>
        <w:tc>
          <w:tcPr>
            <w:shd w:val="clear" w:color="auto" w:fill="auto"/>
            <w:tcBorders/>
            <w:tcW w:w="993" w:type="dxa"/>
            <w:textDirection w:val="lrTb"/>
            <w:noWrap w:val="false"/>
          </w:tcPr>
          <w:p>
            <w:pPr>
              <w:pBdr/>
              <w:spacing/>
              <w:ind/>
              <w:rPr>
                <w:rFonts w:ascii="Times New Roman" w:hAnsi="Times New Roman" w:cs="Times New Roman"/>
              </w:rPr>
            </w:pPr>
            <w:r>
              <w:rPr>
                <w:rFonts w:ascii="Times New Roman" w:hAnsi="Times New Roman" w:cs="Times New Roman"/>
              </w:rPr>
              <w:t xml:space="preserve">20,0</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20,0</w:t>
            </w:r>
            <w:r>
              <w:rPr>
                <w:rFonts w:ascii="Times New Roman" w:hAnsi="Times New Roman" w:cs="Times New Roman"/>
              </w:rPr>
            </w:r>
            <w:r>
              <w:rPr>
                <w:rFonts w:ascii="Times New Roman" w:hAnsi="Times New Roman" w:cs="Times New Roman"/>
              </w:rPr>
            </w:r>
          </w:p>
        </w:tc>
        <w:tc>
          <w:tcPr>
            <w:shd w:val="clear" w:color="auto" w:fill="auto"/>
            <w:tcBorders/>
            <w:tcW w:w="850" w:type="dxa"/>
            <w:textDirection w:val="lrTb"/>
            <w:noWrap w:val="false"/>
          </w:tcPr>
          <w:p>
            <w:pPr>
              <w:pBdr/>
              <w:spacing/>
              <w:ind/>
              <w:rPr>
                <w:rFonts w:ascii="Times New Roman" w:hAnsi="Times New Roman" w:cs="Times New Roman"/>
              </w:rPr>
            </w:pPr>
            <w:r>
              <w:rPr>
                <w:rFonts w:ascii="Times New Roman" w:hAnsi="Times New Roman" w:cs="Times New Roman"/>
              </w:rPr>
              <w:t xml:space="preserve">60,0</w:t>
            </w:r>
            <w:r>
              <w:rPr>
                <w:rFonts w:ascii="Times New Roman" w:hAnsi="Times New Roman" w:cs="Times New Roman"/>
              </w:rPr>
            </w:r>
            <w:r>
              <w:rPr>
                <w:rFonts w:ascii="Times New Roman" w:hAnsi="Times New Roman" w:cs="Times New Roman"/>
              </w:rPr>
            </w:r>
          </w:p>
        </w:tc>
        <w:tc>
          <w:tcPr>
            <w:shd w:val="clear" w:color="auto" w:fill="auto"/>
            <w:tcBorders/>
            <w:tcW w:w="2979" w:type="dxa"/>
            <w:textDirection w:val="lrTb"/>
            <w:noWrap w:val="false"/>
          </w:tcPr>
          <w:p>
            <w:pPr>
              <w:pBdr/>
              <w:spacing/>
              <w:ind/>
              <w:rPr>
                <w:rFonts w:ascii="Times New Roman" w:hAnsi="Times New Roman" w:cs="Times New Roman"/>
              </w:rPr>
            </w:pPr>
            <w:r>
              <w:rPr>
                <w:rFonts w:ascii="Times New Roman" w:hAnsi="Times New Roman" w:cs="Times New Roman"/>
                <w:bCs/>
              </w:rPr>
              <w:t xml:space="preserve">Збереження та відродження нематеріальної культурної спадщини</w:t>
            </w:r>
            <w:r>
              <w:rPr>
                <w:rFonts w:ascii="Times New Roman" w:hAnsi="Times New Roman" w:cs="Times New Roman"/>
              </w:rPr>
            </w:r>
            <w:r>
              <w:rPr>
                <w:rFonts w:ascii="Times New Roman" w:hAnsi="Times New Roman" w:cs="Times New Roman"/>
              </w:rPr>
            </w:r>
          </w:p>
        </w:tc>
      </w:tr>
      <w:tr>
        <w:trPr/>
        <w:tc>
          <w:tcPr>
            <w:shd w:val="clear" w:color="auto" w:fill="auto"/>
            <w:tcBorders/>
            <w:tcW w:w="1841" w:type="dxa"/>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2408" w:type="dxa"/>
            <w:textDirection w:val="lrTb"/>
            <w:noWrap w:val="false"/>
          </w:tcPr>
          <w:p>
            <w:pPr>
              <w:pBdr/>
              <w:spacing/>
              <w:ind/>
              <w:rPr>
                <w:rFonts w:ascii="Times New Roman" w:hAnsi="Times New Roman" w:cs="Times New Roman"/>
              </w:rPr>
            </w:pPr>
            <w:r>
              <w:rPr>
                <w:rFonts w:ascii="Times New Roman" w:hAnsi="Times New Roman" w:cs="Times New Roman"/>
              </w:rPr>
              <w:t xml:space="preserve">5.2. Презентація виробів традиційного, ужиткового, прикладного   народного мистецтва на  обласних, всеукраїнських та міжнародних виставкових заходах</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1559" w:type="dxa"/>
            <w:vMerge w:val="continue"/>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1845" w:type="dxa"/>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30,0</w:t>
            </w:r>
            <w:r>
              <w:rPr>
                <w:rFonts w:ascii="Times New Roman" w:hAnsi="Times New Roman" w:cs="Times New Roman"/>
              </w:rPr>
            </w:r>
            <w:r>
              <w:rPr>
                <w:rFonts w:ascii="Times New Roman" w:hAnsi="Times New Roman" w:cs="Times New Roman"/>
              </w:rPr>
            </w:r>
          </w:p>
        </w:tc>
        <w:tc>
          <w:tcPr>
            <w:shd w:val="clear" w:color="auto" w:fill="auto"/>
            <w:tcBorders/>
            <w:tcW w:w="993" w:type="dxa"/>
            <w:textDirection w:val="lrTb"/>
            <w:noWrap w:val="false"/>
          </w:tcPr>
          <w:p>
            <w:pPr>
              <w:pBdr/>
              <w:spacing/>
              <w:ind/>
              <w:rPr>
                <w:rFonts w:ascii="Times New Roman" w:hAnsi="Times New Roman" w:cs="Times New Roman"/>
              </w:rPr>
            </w:pPr>
            <w:r>
              <w:rPr>
                <w:rFonts w:ascii="Times New Roman" w:hAnsi="Times New Roman" w:cs="Times New Roman"/>
              </w:rPr>
              <w:t xml:space="preserve">30,0</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30,0</w:t>
            </w:r>
            <w:r>
              <w:rPr>
                <w:rFonts w:ascii="Times New Roman" w:hAnsi="Times New Roman" w:cs="Times New Roman"/>
              </w:rPr>
            </w:r>
            <w:r>
              <w:rPr>
                <w:rFonts w:ascii="Times New Roman" w:hAnsi="Times New Roman" w:cs="Times New Roman"/>
              </w:rPr>
            </w:r>
          </w:p>
        </w:tc>
        <w:tc>
          <w:tcPr>
            <w:shd w:val="clear" w:color="auto" w:fill="auto"/>
            <w:tcBorders/>
            <w:tcW w:w="850" w:type="dxa"/>
            <w:textDirection w:val="lrTb"/>
            <w:noWrap w:val="false"/>
          </w:tcPr>
          <w:p>
            <w:pPr>
              <w:pBdr/>
              <w:spacing/>
              <w:ind/>
              <w:rPr>
                <w:rFonts w:ascii="Times New Roman" w:hAnsi="Times New Roman" w:cs="Times New Roman"/>
              </w:rPr>
            </w:pPr>
            <w:r>
              <w:rPr>
                <w:rFonts w:ascii="Times New Roman" w:hAnsi="Times New Roman" w:cs="Times New Roman"/>
              </w:rPr>
              <w:t xml:space="preserve">90,0</w:t>
            </w:r>
            <w:r>
              <w:rPr>
                <w:rFonts w:ascii="Times New Roman" w:hAnsi="Times New Roman" w:cs="Times New Roman"/>
              </w:rPr>
            </w:r>
            <w:r>
              <w:rPr>
                <w:rFonts w:ascii="Times New Roman" w:hAnsi="Times New Roman" w:cs="Times New Roman"/>
              </w:rPr>
            </w:r>
          </w:p>
        </w:tc>
        <w:tc>
          <w:tcPr>
            <w:shd w:val="clear" w:color="auto" w:fill="auto"/>
            <w:tcBorders/>
            <w:tcW w:w="2979" w:type="dxa"/>
            <w:textDirection w:val="lrTb"/>
            <w:noWrap w:val="false"/>
          </w:tcPr>
          <w:p>
            <w:pPr>
              <w:pBdr/>
              <w:spacing/>
              <w:ind/>
              <w:rPr>
                <w:rFonts w:ascii="Times New Roman" w:hAnsi="Times New Roman" w:cs="Times New Roman"/>
              </w:rPr>
            </w:pPr>
            <w:r>
              <w:rPr>
                <w:rFonts w:ascii="Times New Roman" w:hAnsi="Times New Roman" w:cs="Times New Roman"/>
                <w:bCs/>
              </w:rPr>
              <w:t xml:space="preserve">Збереження та відродження нематеріальної культурної спадщини, </w:t>
            </w:r>
            <w:r>
              <w:rPr>
                <w:rFonts w:ascii="Times New Roman" w:hAnsi="Times New Roman" w:cs="Times New Roman"/>
              </w:rPr>
              <w:t xml:space="preserve">популяризація іміджу громади за її межами</w:t>
            </w:r>
            <w:r>
              <w:rPr>
                <w:rFonts w:ascii="Times New Roman" w:hAnsi="Times New Roman" w:cs="Times New Roman"/>
              </w:rPr>
            </w:r>
            <w:r>
              <w:rPr>
                <w:rFonts w:ascii="Times New Roman" w:hAnsi="Times New Roman" w:cs="Times New Roman"/>
              </w:rPr>
            </w:r>
          </w:p>
        </w:tc>
      </w:tr>
      <w:tr>
        <w:trPr/>
        <w:tc>
          <w:tcPr>
            <w:shd w:val="clear" w:color="auto" w:fill="auto"/>
            <w:tcBorders/>
            <w:tcW w:w="1841" w:type="dxa"/>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ffffff"/>
            <w:tcBorders/>
            <w:tcW w:w="2408" w:type="dxa"/>
            <w:textDirection w:val="lrTb"/>
            <w:noWrap w:val="false"/>
          </w:tcPr>
          <w:p>
            <w:pPr>
              <w:pBdr/>
              <w:spacing/>
              <w:ind/>
              <w:rPr>
                <w:rFonts w:ascii="Times New Roman" w:hAnsi="Times New Roman" w:cs="Times New Roman"/>
              </w:rPr>
            </w:pPr>
            <w:r>
              <w:rPr>
                <w:rFonts w:ascii="Times New Roman" w:hAnsi="Times New Roman" w:cs="Times New Roman"/>
              </w:rPr>
              <w:t xml:space="preserve">5.3. Організація експедицій, сприяння випуску, придбанню та поширенню записів із творами народної музики, народними традиціями і </w:t>
            </w:r>
            <w:r>
              <w:rPr>
                <w:rFonts w:ascii="Times New Roman" w:hAnsi="Times New Roman" w:cs="Times New Roman"/>
              </w:rPr>
              <w:t xml:space="preserve">обрядами, народними піснями і мелодіями, процесами приготування регіональних страв, народних промислів та ремесел, що побутують на Менщині</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1559" w:type="dxa"/>
            <w:vMerge w:val="continue"/>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1845" w:type="dxa"/>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30,0</w:t>
            </w:r>
            <w:r>
              <w:rPr>
                <w:rFonts w:ascii="Times New Roman" w:hAnsi="Times New Roman" w:cs="Times New Roman"/>
              </w:rPr>
            </w:r>
            <w:r>
              <w:rPr>
                <w:rFonts w:ascii="Times New Roman" w:hAnsi="Times New Roman" w:cs="Times New Roman"/>
              </w:rPr>
            </w:r>
          </w:p>
        </w:tc>
        <w:tc>
          <w:tcPr>
            <w:shd w:val="clear" w:color="auto" w:fill="auto"/>
            <w:tcBorders/>
            <w:tcW w:w="993" w:type="dxa"/>
            <w:textDirection w:val="lrTb"/>
            <w:noWrap w:val="false"/>
          </w:tcPr>
          <w:p>
            <w:pPr>
              <w:pBdr/>
              <w:spacing/>
              <w:ind/>
              <w:rPr>
                <w:rFonts w:ascii="Times New Roman" w:hAnsi="Times New Roman" w:cs="Times New Roman"/>
              </w:rPr>
            </w:pPr>
            <w:r>
              <w:rPr>
                <w:rFonts w:ascii="Times New Roman" w:hAnsi="Times New Roman" w:cs="Times New Roman"/>
              </w:rPr>
              <w:t xml:space="preserve">30,0</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30,0</w:t>
            </w:r>
            <w:r>
              <w:rPr>
                <w:rFonts w:ascii="Times New Roman" w:hAnsi="Times New Roman" w:cs="Times New Roman"/>
              </w:rPr>
            </w:r>
            <w:r>
              <w:rPr>
                <w:rFonts w:ascii="Times New Roman" w:hAnsi="Times New Roman" w:cs="Times New Roman"/>
              </w:rPr>
            </w:r>
          </w:p>
        </w:tc>
        <w:tc>
          <w:tcPr>
            <w:shd w:val="clear" w:color="auto" w:fill="auto"/>
            <w:tcBorders/>
            <w:tcW w:w="850" w:type="dxa"/>
            <w:textDirection w:val="lrTb"/>
            <w:noWrap w:val="false"/>
          </w:tcPr>
          <w:p>
            <w:pPr>
              <w:pBdr/>
              <w:spacing/>
              <w:ind/>
              <w:rPr>
                <w:rFonts w:ascii="Times New Roman" w:hAnsi="Times New Roman" w:cs="Times New Roman"/>
              </w:rPr>
            </w:pPr>
            <w:r>
              <w:rPr>
                <w:rFonts w:ascii="Times New Roman" w:hAnsi="Times New Roman" w:cs="Times New Roman"/>
              </w:rPr>
              <w:t xml:space="preserve">90,0</w:t>
            </w:r>
            <w:r>
              <w:rPr>
                <w:rFonts w:ascii="Times New Roman" w:hAnsi="Times New Roman" w:cs="Times New Roman"/>
              </w:rPr>
            </w:r>
            <w:r>
              <w:rPr>
                <w:rFonts w:ascii="Times New Roman" w:hAnsi="Times New Roman" w:cs="Times New Roman"/>
              </w:rPr>
            </w:r>
          </w:p>
        </w:tc>
        <w:tc>
          <w:tcPr>
            <w:shd w:val="clear" w:color="auto" w:fill="auto"/>
            <w:tcBorders/>
            <w:tcW w:w="2979" w:type="dxa"/>
            <w:textDirection w:val="lrTb"/>
            <w:noWrap w:val="false"/>
          </w:tcPr>
          <w:p>
            <w:pPr>
              <w:pBdr/>
              <w:spacing/>
              <w:ind/>
              <w:rPr>
                <w:rFonts w:ascii="Times New Roman" w:hAnsi="Times New Roman" w:cs="Times New Roman"/>
              </w:rPr>
            </w:pPr>
            <w:r>
              <w:rPr>
                <w:rFonts w:ascii="Times New Roman" w:hAnsi="Times New Roman" w:cs="Times New Roman"/>
                <w:bCs/>
              </w:rPr>
              <w:t xml:space="preserve">Збір матеріалу про елементи нематеріальної культурної спадщини, збереження зразків нематеріальної культурної спадщини</w:t>
            </w:r>
            <w:r>
              <w:rPr>
                <w:rFonts w:ascii="Times New Roman" w:hAnsi="Times New Roman" w:cs="Times New Roman"/>
              </w:rPr>
            </w:r>
            <w:r>
              <w:rPr>
                <w:rFonts w:ascii="Times New Roman" w:hAnsi="Times New Roman" w:cs="Times New Roman"/>
              </w:rPr>
            </w:r>
          </w:p>
        </w:tc>
      </w:tr>
      <w:tr>
        <w:trPr/>
        <w:tc>
          <w:tcPr>
            <w:shd w:val="clear" w:color="auto" w:fill="auto"/>
            <w:tcBorders/>
            <w:tcW w:w="1841" w:type="dxa"/>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2408" w:type="dxa"/>
            <w:textDirection w:val="lrTb"/>
            <w:noWrap w:val="false"/>
          </w:tcPr>
          <w:p>
            <w:pPr>
              <w:pBdr/>
              <w:spacing/>
              <w:ind/>
              <w:rPr>
                <w:rFonts w:ascii="Times New Roman" w:hAnsi="Times New Roman" w:cs="Times New Roman"/>
              </w:rPr>
            </w:pPr>
            <w:r>
              <w:rPr>
                <w:rFonts w:ascii="Times New Roman" w:hAnsi="Times New Roman" w:cs="Times New Roman"/>
              </w:rPr>
              <w:t xml:space="preserve">5.4. Забезпечення оцифрування етнографічних записів, творчих доробків кращих майстрів громади</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1559" w:type="dxa"/>
            <w:vMerge w:val="continue"/>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1845" w:type="dxa"/>
            <w:textDirection w:val="lrTb"/>
            <w:noWrap w:val="false"/>
          </w:tcPr>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20,0</w:t>
            </w:r>
            <w:r>
              <w:rPr>
                <w:rFonts w:ascii="Times New Roman" w:hAnsi="Times New Roman" w:cs="Times New Roman"/>
              </w:rPr>
            </w:r>
            <w:r>
              <w:rPr>
                <w:rFonts w:ascii="Times New Roman" w:hAnsi="Times New Roman" w:cs="Times New Roman"/>
              </w:rPr>
            </w:r>
          </w:p>
        </w:tc>
        <w:tc>
          <w:tcPr>
            <w:shd w:val="clear" w:color="auto" w:fill="auto"/>
            <w:tcBorders/>
            <w:tcW w:w="993" w:type="dxa"/>
            <w:textDirection w:val="lrTb"/>
            <w:noWrap w:val="false"/>
          </w:tcPr>
          <w:p>
            <w:pPr>
              <w:pBdr/>
              <w:spacing/>
              <w:ind/>
              <w:rPr>
                <w:rFonts w:ascii="Times New Roman" w:hAnsi="Times New Roman" w:cs="Times New Roman"/>
              </w:rPr>
            </w:pPr>
            <w:r>
              <w:rPr>
                <w:rFonts w:ascii="Times New Roman" w:hAnsi="Times New Roman" w:cs="Times New Roman"/>
              </w:rPr>
              <w:t xml:space="preserve">40,0</w:t>
            </w:r>
            <w:r>
              <w:rPr>
                <w:rFonts w:ascii="Times New Roman" w:hAnsi="Times New Roman" w:cs="Times New Roman"/>
              </w:rPr>
            </w:r>
            <w:r>
              <w:rPr>
                <w:rFonts w:ascii="Times New Roman" w:hAnsi="Times New Roman" w:cs="Times New Roman"/>
              </w:rPr>
            </w:r>
          </w:p>
        </w:tc>
        <w:tc>
          <w:tcPr>
            <w:shd w:val="clear" w:color="auto" w:fill="auto"/>
            <w:tcBorders/>
            <w:tcW w:w="992" w:type="dxa"/>
            <w:textDirection w:val="lrTb"/>
            <w:noWrap w:val="false"/>
          </w:tcPr>
          <w:p>
            <w:pPr>
              <w:pBdr/>
              <w:spacing/>
              <w:ind/>
              <w:rPr>
                <w:rFonts w:ascii="Times New Roman" w:hAnsi="Times New Roman" w:cs="Times New Roman"/>
              </w:rPr>
            </w:pPr>
            <w:r>
              <w:rPr>
                <w:rFonts w:ascii="Times New Roman" w:hAnsi="Times New Roman" w:cs="Times New Roman"/>
              </w:rPr>
              <w:t xml:space="preserve">70,0</w:t>
            </w:r>
            <w:r>
              <w:rPr>
                <w:rFonts w:ascii="Times New Roman" w:hAnsi="Times New Roman" w:cs="Times New Roman"/>
              </w:rPr>
            </w:r>
            <w:r>
              <w:rPr>
                <w:rFonts w:ascii="Times New Roman" w:hAnsi="Times New Roman" w:cs="Times New Roman"/>
              </w:rPr>
            </w:r>
          </w:p>
        </w:tc>
        <w:tc>
          <w:tcPr>
            <w:shd w:val="clear" w:color="auto" w:fill="auto"/>
            <w:tcBorders/>
            <w:tcW w:w="850" w:type="dxa"/>
            <w:textDirection w:val="lrTb"/>
            <w:noWrap w:val="false"/>
          </w:tcPr>
          <w:p>
            <w:pPr>
              <w:pBdr/>
              <w:spacing/>
              <w:ind/>
              <w:rPr>
                <w:rFonts w:ascii="Times New Roman" w:hAnsi="Times New Roman" w:cs="Times New Roman"/>
              </w:rPr>
            </w:pPr>
            <w:r>
              <w:rPr>
                <w:rFonts w:ascii="Times New Roman" w:hAnsi="Times New Roman" w:cs="Times New Roman"/>
              </w:rPr>
              <w:t xml:space="preserve">130,0</w:t>
            </w:r>
            <w:r>
              <w:rPr>
                <w:rFonts w:ascii="Times New Roman" w:hAnsi="Times New Roman" w:cs="Times New Roman"/>
              </w:rPr>
            </w:r>
            <w:r>
              <w:rPr>
                <w:rFonts w:ascii="Times New Roman" w:hAnsi="Times New Roman" w:cs="Times New Roman"/>
              </w:rPr>
            </w:r>
          </w:p>
        </w:tc>
        <w:tc>
          <w:tcPr>
            <w:shd w:val="clear" w:color="auto" w:fill="auto"/>
            <w:tcBorders/>
            <w:tcW w:w="2979" w:type="dxa"/>
            <w:textDirection w:val="lrTb"/>
            <w:noWrap w:val="false"/>
          </w:tcPr>
          <w:p>
            <w:pPr>
              <w:pBdr/>
              <w:spacing/>
              <w:ind/>
              <w:rPr>
                <w:rFonts w:ascii="Times New Roman" w:hAnsi="Times New Roman" w:cs="Times New Roman"/>
              </w:rPr>
            </w:pPr>
            <w:r>
              <w:rPr>
                <w:rFonts w:ascii="Times New Roman" w:hAnsi="Times New Roman" w:cs="Times New Roman"/>
                <w:bCs/>
              </w:rPr>
              <w:t xml:space="preserve">Збереження зразків нематеріальної культурної спадщини</w:t>
            </w:r>
            <w:r>
              <w:rPr>
                <w:rFonts w:ascii="Times New Roman" w:hAnsi="Times New Roman" w:cs="Times New Roman"/>
              </w:rPr>
            </w:r>
            <w:r>
              <w:rPr>
                <w:rFonts w:ascii="Times New Roman" w:hAnsi="Times New Roman" w:cs="Times New Roman"/>
              </w:rPr>
            </w:r>
          </w:p>
        </w:tc>
      </w:tr>
      <w:tr>
        <w:trPr>
          <w:trHeight w:val="447"/>
        </w:trPr>
        <w:tc>
          <w:tcPr>
            <w:gridSpan w:val="5"/>
            <w:shd w:val="clear" w:color="auto" w:fill="auto"/>
            <w:tcBorders/>
            <w:tcW w:w="8645" w:type="dxa"/>
            <w:textDirection w:val="lrTb"/>
            <w:noWrap w:val="false"/>
          </w:tcPr>
          <w:p>
            <w:pPr>
              <w:pBdr/>
              <w:spacing/>
              <w:ind/>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 xml:space="preserve">Всього:</w:t>
            </w:r>
            <w:r>
              <w:rPr>
                <w:rFonts w:ascii="Times New Roman" w:hAnsi="Times New Roman" w:cs="Times New Roman"/>
                <w:b/>
                <w:bCs/>
              </w:rPr>
            </w:r>
            <w:r>
              <w:rPr>
                <w:rFonts w:ascii="Times New Roman" w:hAnsi="Times New Roman" w:cs="Times New Roman"/>
                <w:b/>
                <w:bCs/>
              </w:rPr>
            </w:r>
          </w:p>
          <w:p>
            <w:pPr>
              <w:pBdr/>
              <w:spacing/>
              <w:ind/>
              <w:rPr>
                <w:rFonts w:ascii="Times New Roman" w:hAnsi="Times New Roman" w:cs="Times New Roman"/>
                <w:sz w:val="24"/>
                <w:szCs w:val="24"/>
              </w:rPr>
            </w:pPr>
            <w:r>
              <w:rPr>
                <w:rFonts w:ascii="Times New Roman" w:hAnsi="Times New Roman" w:cs="Times New Roman"/>
                <w:b/>
                <w:bCs/>
              </w:rPr>
              <w:t xml:space="preserve"> </w:t>
            </w:r>
            <w:r>
              <w:rPr>
                <w:rFonts w:ascii="Times New Roman" w:hAnsi="Times New Roman" w:cs="Times New Roman"/>
                <w:sz w:val="24"/>
                <w:szCs w:val="24"/>
              </w:rPr>
              <w:t xml:space="preserve">Бюджет міської ТГ та інші джерела, не заборонені законодавством України</w:t>
            </w:r>
            <w:r>
              <w:rPr>
                <w:rFonts w:ascii="Times New Roman" w:hAnsi="Times New Roman" w:cs="Times New Roman"/>
                <w:sz w:val="24"/>
                <w:szCs w:val="24"/>
              </w:rPr>
            </w:r>
            <w:r>
              <w:rPr>
                <w:rFonts w:ascii="Times New Roman" w:hAnsi="Times New Roman" w:cs="Times New Roman"/>
                <w:sz w:val="24"/>
                <w:szCs w:val="24"/>
              </w:rPr>
            </w:r>
          </w:p>
        </w:tc>
        <w:tc>
          <w:tcPr>
            <w:shd w:val="clear" w:color="auto" w:fill="auto"/>
            <w:tcBorders/>
            <w:tcW w:w="992" w:type="dxa"/>
            <w:textDirection w:val="lrTb"/>
            <w:noWrap w:val="false"/>
          </w:tcPr>
          <w:p>
            <w:pPr>
              <w:pBdr/>
              <w:spacing/>
              <w:ind/>
              <w:rPr>
                <w:rFonts w:ascii="Times New Roman" w:hAnsi="Times New Roman" w:cs="Times New Roman"/>
                <w:b/>
                <w:bCs/>
              </w:rPr>
            </w:pPr>
            <w:r>
              <w:rPr>
                <w:rFonts w:ascii="Times New Roman" w:hAnsi="Times New Roman" w:cs="Times New Roman"/>
                <w:b/>
                <w:bCs/>
              </w:rPr>
              <w:t xml:space="preserve">790,0</w:t>
            </w:r>
            <w:r>
              <w:rPr>
                <w:rFonts w:ascii="Times New Roman" w:hAnsi="Times New Roman" w:cs="Times New Roman"/>
                <w:b/>
                <w:bCs/>
              </w:rPr>
            </w:r>
            <w:r>
              <w:rPr>
                <w:rFonts w:ascii="Times New Roman" w:hAnsi="Times New Roman" w:cs="Times New Roman"/>
                <w:b/>
                <w:bCs/>
              </w:rPr>
            </w:r>
          </w:p>
        </w:tc>
        <w:tc>
          <w:tcPr>
            <w:shd w:val="clear" w:color="auto" w:fill="auto"/>
            <w:tcBorders/>
            <w:tcW w:w="993" w:type="dxa"/>
            <w:textDirection w:val="lrTb"/>
            <w:noWrap w:val="false"/>
          </w:tcPr>
          <w:p>
            <w:pPr>
              <w:pBdr/>
              <w:spacing/>
              <w:ind/>
              <w:rPr>
                <w:rFonts w:ascii="Times New Roman" w:hAnsi="Times New Roman" w:cs="Times New Roman"/>
                <w:b/>
                <w:bCs/>
              </w:rPr>
            </w:pPr>
            <w:r>
              <w:rPr>
                <w:rFonts w:ascii="Times New Roman" w:hAnsi="Times New Roman" w:cs="Times New Roman"/>
                <w:b/>
                <w:bCs/>
              </w:rPr>
              <w:t xml:space="preserve">810,0</w:t>
            </w:r>
            <w:r>
              <w:rPr>
                <w:rFonts w:ascii="Times New Roman" w:hAnsi="Times New Roman" w:cs="Times New Roman"/>
                <w:b/>
                <w:bCs/>
              </w:rPr>
            </w:r>
            <w:r>
              <w:rPr>
                <w:rFonts w:ascii="Times New Roman" w:hAnsi="Times New Roman" w:cs="Times New Roman"/>
                <w:b/>
                <w:bCs/>
              </w:rPr>
            </w:r>
          </w:p>
        </w:tc>
        <w:tc>
          <w:tcPr>
            <w:shd w:val="clear" w:color="auto" w:fill="auto"/>
            <w:tcBorders/>
            <w:tcW w:w="992" w:type="dxa"/>
            <w:textDirection w:val="lrTb"/>
            <w:noWrap w:val="false"/>
          </w:tcPr>
          <w:p>
            <w:pPr>
              <w:pBdr/>
              <w:spacing/>
              <w:ind/>
              <w:rPr>
                <w:rFonts w:ascii="Times New Roman" w:hAnsi="Times New Roman" w:cs="Times New Roman"/>
                <w:b/>
                <w:bCs/>
              </w:rPr>
            </w:pPr>
            <w:r>
              <w:rPr>
                <w:rFonts w:ascii="Times New Roman" w:hAnsi="Times New Roman" w:cs="Times New Roman"/>
                <w:b/>
                <w:bCs/>
              </w:rPr>
              <w:t xml:space="preserve">840,0</w:t>
            </w:r>
            <w:r>
              <w:rPr>
                <w:rFonts w:ascii="Times New Roman" w:hAnsi="Times New Roman" w:cs="Times New Roman"/>
                <w:b/>
                <w:bCs/>
              </w:rPr>
            </w:r>
            <w:r>
              <w:rPr>
                <w:rFonts w:ascii="Times New Roman" w:hAnsi="Times New Roman" w:cs="Times New Roman"/>
                <w:b/>
                <w:bCs/>
              </w:rPr>
            </w:r>
          </w:p>
        </w:tc>
        <w:tc>
          <w:tcPr>
            <w:shd w:val="clear" w:color="auto" w:fill="auto"/>
            <w:tcBorders/>
            <w:tcW w:w="850" w:type="dxa"/>
            <w:textDirection w:val="lrTb"/>
            <w:noWrap w:val="false"/>
          </w:tcPr>
          <w:p>
            <w:pPr>
              <w:pBdr/>
              <w:spacing/>
              <w:ind/>
              <w:rPr>
                <w:rFonts w:ascii="Times New Roman" w:hAnsi="Times New Roman" w:cs="Times New Roman"/>
                <w:b/>
                <w:bCs/>
              </w:rPr>
            </w:pPr>
            <w:r>
              <w:rPr>
                <w:rFonts w:ascii="Times New Roman" w:hAnsi="Times New Roman" w:cs="Times New Roman"/>
                <w:b/>
                <w:bCs/>
              </w:rPr>
              <w:t xml:space="preserve">2440,0</w:t>
            </w:r>
            <w:r>
              <w:rPr>
                <w:rFonts w:ascii="Times New Roman" w:hAnsi="Times New Roman" w:cs="Times New Roman"/>
                <w:b/>
                <w:bCs/>
              </w:rPr>
            </w:r>
            <w:r>
              <w:rPr>
                <w:rFonts w:ascii="Times New Roman" w:hAnsi="Times New Roman" w:cs="Times New Roman"/>
                <w:b/>
                <w:bCs/>
              </w:rPr>
            </w:r>
          </w:p>
        </w:tc>
        <w:tc>
          <w:tcPr>
            <w:shd w:val="clear" w:color="auto" w:fill="auto"/>
            <w:tcBorders/>
            <w:tcW w:w="2979" w:type="dxa"/>
            <w:textDirection w:val="lrTb"/>
            <w:noWrap w:val="false"/>
          </w:tcPr>
          <w:p>
            <w:pPr>
              <w:pBdr/>
              <w:spacing/>
              <w:ind/>
              <w:rPr>
                <w:rFonts w:ascii="Times New Roman" w:hAnsi="Times New Roman" w:cs="Times New Roman"/>
                <w:bCs/>
              </w:rPr>
            </w:pPr>
            <w:r>
              <w:rPr>
                <w:rFonts w:ascii="Times New Roman" w:hAnsi="Times New Roman" w:cs="Times New Roman"/>
                <w:bCs/>
              </w:rPr>
            </w:r>
            <w:r>
              <w:rPr>
                <w:rFonts w:ascii="Times New Roman" w:hAnsi="Times New Roman" w:cs="Times New Roman"/>
                <w:bCs/>
              </w:rPr>
            </w:r>
            <w:r>
              <w:rPr>
                <w:rFonts w:ascii="Times New Roman" w:hAnsi="Times New Roman" w:cs="Times New Roman"/>
                <w:bCs/>
              </w:rPr>
            </w:r>
          </w:p>
        </w:tc>
      </w:tr>
    </w:tbl>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after="0"/>
        <w:ind/>
        <w:rPr>
          <w:rFonts w:ascii="Times New Roman" w:hAnsi="Times New Roman" w:cs="Times New Roman"/>
          <w:sz w:val="28"/>
          <w:szCs w:val="28"/>
        </w:rPr>
      </w:pPr>
      <w:r>
        <w:rPr>
          <w:rFonts w:ascii="Times New Roman" w:hAnsi="Times New Roman" w:cs="Times New Roman"/>
          <w:sz w:val="28"/>
          <w:szCs w:val="28"/>
        </w:rPr>
        <w:t xml:space="preserve">Начальник Відділу культури </w:t>
      </w:r>
      <w:r>
        <w:rPr>
          <w:rFonts w:ascii="Times New Roman" w:hAnsi="Times New Roman" w:cs="Times New Roman"/>
          <w:sz w:val="28"/>
          <w:szCs w:val="28"/>
        </w:rPr>
      </w:r>
      <w:r>
        <w:rPr>
          <w:rFonts w:ascii="Times New Roman" w:hAnsi="Times New Roman" w:cs="Times New Roman"/>
          <w:sz w:val="28"/>
          <w:szCs w:val="28"/>
        </w:rPr>
      </w:r>
    </w:p>
    <w:p>
      <w:pPr>
        <w:pBdr/>
        <w:spacing w:after="0"/>
        <w:ind/>
        <w:rPr>
          <w:rFonts w:ascii="Times New Roman" w:hAnsi="Times New Roman" w:cs="Times New Roman"/>
          <w:sz w:val="28"/>
          <w:szCs w:val="28"/>
        </w:rPr>
      </w:pPr>
      <w:r>
        <w:rPr>
          <w:rFonts w:ascii="Times New Roman" w:hAnsi="Times New Roman" w:cs="Times New Roman"/>
          <w:sz w:val="28"/>
          <w:szCs w:val="28"/>
        </w:rPr>
        <w:t xml:space="preserve">Менської міської ради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             </w:t>
      </w:r>
      <w:r>
        <w:rPr>
          <w:rFonts w:ascii="Times New Roman" w:hAnsi="Times New Roman" w:cs="Times New Roman"/>
          <w:sz w:val="28"/>
          <w:szCs w:val="28"/>
        </w:rPr>
        <w:t xml:space="preserve">Світлана ШЕЛУДЬКО</w:t>
      </w:r>
      <w:r>
        <w:rPr>
          <w:rFonts w:ascii="Times New Roman" w:hAnsi="Times New Roman" w:cs="Times New Roman"/>
          <w:sz w:val="28"/>
          <w:szCs w:val="28"/>
        </w:rPr>
      </w:r>
      <w:r>
        <w:rPr>
          <w:rFonts w:ascii="Times New Roman" w:hAnsi="Times New Roman" w:cs="Times New Roman"/>
          <w:sz w:val="28"/>
          <w:szCs w:val="28"/>
        </w:rPr>
      </w:r>
    </w:p>
    <w:p>
      <w:pPr>
        <w:pBdr/>
        <w:spacing w:after="0"/>
        <w:ind/>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sectPr>
      <w:headerReference w:type="default" r:id="rId8"/>
      <w:footnotePr/>
      <w:endnotePr/>
      <w:type w:val="nextPage"/>
      <w:pgSz w:h="11906" w:orient="landscape" w:w="16838"/>
      <w:pgMar w:top="1417" w:right="850" w:bottom="850" w:left="850" w:header="708" w:footer="708" w:gutter="0"/>
      <w:pgNumType w:start="6"/>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71"/>
      <w:pBdr/>
      <w:spacing/>
      <w:ind/>
      <w:jc w:val="center"/>
      <w:rPr>
        <w:sz w:val="24"/>
        <w:szCs w:val="24"/>
      </w:rPr>
    </w:pPr>
    <w:r>
      <w:rPr>
        <w:sz w:val="24"/>
        <w:szCs w:val="24"/>
      </w:rPr>
      <w:t xml:space="preserve">                                                                    </w:t>
    </w:r>
    <w:fldSimple w:instr="PAGE \* MERGEFORMAT">
      <w:r>
        <w:rPr>
          <w:sz w:val="24"/>
          <w:szCs w:val="24"/>
        </w:rPr>
        <w:t xml:space="preserve">1</w:t>
      </w:r>
    </w:fldSimple>
    <w:r>
      <w:rPr>
        <w:sz w:val="24"/>
        <w:szCs w:val="24"/>
      </w:rPr>
    </w:r>
    <w:r>
      <w:rPr>
        <w:sz w:val="24"/>
        <w:szCs w:val="24"/>
      </w:rPr>
      <w:t xml:space="preserve">                            продовження додатка</w:t>
    </w:r>
    <w:r>
      <w:rPr>
        <w:sz w:val="24"/>
        <w:szCs w:val="24"/>
      </w:rPr>
    </w:r>
    <w:r>
      <w:rPr>
        <w:sz w:val="24"/>
        <w:szCs w:val="24"/>
      </w:rP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uk-UA"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82">
    <w:name w:val="Intense Emphasis"/>
    <w:basedOn w:val="868"/>
    <w:uiPriority w:val="21"/>
    <w:qFormat/>
    <w:pPr>
      <w:pBdr/>
      <w:spacing/>
      <w:ind/>
    </w:pPr>
    <w:rPr>
      <w:i/>
      <w:iCs/>
      <w:color w:val="0f4761" w:themeColor="accent1" w:themeShade="BF"/>
    </w:rPr>
  </w:style>
  <w:style w:type="character" w:styleId="683">
    <w:name w:val="Intense Reference"/>
    <w:basedOn w:val="868"/>
    <w:uiPriority w:val="32"/>
    <w:qFormat/>
    <w:pPr>
      <w:pBdr/>
      <w:spacing/>
      <w:ind/>
    </w:pPr>
    <w:rPr>
      <w:b/>
      <w:bCs/>
      <w:smallCaps/>
      <w:color w:val="0f4761" w:themeColor="accent1" w:themeShade="BF"/>
      <w:spacing w:val="5"/>
    </w:rPr>
  </w:style>
  <w:style w:type="character" w:styleId="684">
    <w:name w:val="Subtle Emphasis"/>
    <w:basedOn w:val="868"/>
    <w:uiPriority w:val="19"/>
    <w:qFormat/>
    <w:pPr>
      <w:pBdr/>
      <w:spacing/>
      <w:ind/>
    </w:pPr>
    <w:rPr>
      <w:i/>
      <w:iCs/>
      <w:color w:val="404040" w:themeColor="text1" w:themeTint="BF"/>
    </w:rPr>
  </w:style>
  <w:style w:type="character" w:styleId="685">
    <w:name w:val="Emphasis"/>
    <w:basedOn w:val="868"/>
    <w:uiPriority w:val="20"/>
    <w:qFormat/>
    <w:pPr>
      <w:pBdr/>
      <w:spacing/>
      <w:ind/>
    </w:pPr>
    <w:rPr>
      <w:i/>
      <w:iCs/>
    </w:rPr>
  </w:style>
  <w:style w:type="character" w:styleId="686">
    <w:name w:val="Strong"/>
    <w:basedOn w:val="868"/>
    <w:uiPriority w:val="22"/>
    <w:qFormat/>
    <w:pPr>
      <w:pBdr/>
      <w:spacing/>
      <w:ind/>
    </w:pPr>
    <w:rPr>
      <w:b/>
      <w:bCs/>
    </w:rPr>
  </w:style>
  <w:style w:type="character" w:styleId="687">
    <w:name w:val="Subtle Reference"/>
    <w:basedOn w:val="868"/>
    <w:uiPriority w:val="31"/>
    <w:qFormat/>
    <w:pPr>
      <w:pBdr/>
      <w:spacing/>
      <w:ind/>
    </w:pPr>
    <w:rPr>
      <w:smallCaps/>
      <w:color w:val="5a5a5a" w:themeColor="text1" w:themeTint="A5"/>
    </w:rPr>
  </w:style>
  <w:style w:type="character" w:styleId="688">
    <w:name w:val="Book Title"/>
    <w:basedOn w:val="868"/>
    <w:uiPriority w:val="33"/>
    <w:qFormat/>
    <w:pPr>
      <w:pBdr/>
      <w:spacing/>
      <w:ind/>
    </w:pPr>
    <w:rPr>
      <w:b/>
      <w:bCs/>
      <w:i/>
      <w:iCs/>
      <w:spacing w:val="5"/>
    </w:rPr>
  </w:style>
  <w:style w:type="character" w:styleId="689">
    <w:name w:val="FollowedHyperlink"/>
    <w:basedOn w:val="868"/>
    <w:uiPriority w:val="99"/>
    <w:semiHidden/>
    <w:unhideWhenUsed/>
    <w:pPr>
      <w:pBdr/>
      <w:spacing/>
      <w:ind/>
    </w:pPr>
    <w:rPr>
      <w:color w:val="954f72" w:themeColor="followedHyperlink"/>
      <w:u w:val="single"/>
    </w:rPr>
  </w:style>
  <w:style w:type="paragraph" w:styleId="690">
    <w:name w:val="Heading 1"/>
    <w:basedOn w:val="867"/>
    <w:next w:val="867"/>
    <w:link w:val="691"/>
    <w:uiPriority w:val="9"/>
    <w:qFormat/>
    <w:pPr>
      <w:keepNext w:val="true"/>
      <w:keepLines w:val="true"/>
      <w:pBdr/>
      <w:spacing w:after="200" w:before="480"/>
      <w:ind/>
      <w:outlineLvl w:val="0"/>
    </w:pPr>
    <w:rPr>
      <w:rFonts w:ascii="Arial" w:hAnsi="Arial" w:eastAsia="Arial" w:cs="Arial"/>
      <w:sz w:val="40"/>
      <w:szCs w:val="40"/>
    </w:rPr>
  </w:style>
  <w:style w:type="character" w:styleId="691">
    <w:name w:val="Heading 1 Char"/>
    <w:basedOn w:val="868"/>
    <w:link w:val="690"/>
    <w:uiPriority w:val="9"/>
    <w:pPr>
      <w:pBdr/>
      <w:spacing/>
      <w:ind/>
    </w:pPr>
    <w:rPr>
      <w:rFonts w:ascii="Arial" w:hAnsi="Arial" w:eastAsia="Arial" w:cs="Arial"/>
      <w:sz w:val="40"/>
      <w:szCs w:val="40"/>
    </w:rPr>
  </w:style>
  <w:style w:type="paragraph" w:styleId="692">
    <w:name w:val="Heading 2"/>
    <w:basedOn w:val="867"/>
    <w:next w:val="867"/>
    <w:link w:val="693"/>
    <w:uiPriority w:val="9"/>
    <w:unhideWhenUsed/>
    <w:qFormat/>
    <w:pPr>
      <w:keepNext w:val="true"/>
      <w:keepLines w:val="true"/>
      <w:pBdr/>
      <w:spacing w:after="200" w:before="360"/>
      <w:ind/>
      <w:outlineLvl w:val="1"/>
    </w:pPr>
    <w:rPr>
      <w:rFonts w:ascii="Arial" w:hAnsi="Arial" w:eastAsia="Arial" w:cs="Arial"/>
      <w:sz w:val="34"/>
    </w:rPr>
  </w:style>
  <w:style w:type="character" w:styleId="693">
    <w:name w:val="Heading 2 Char"/>
    <w:basedOn w:val="868"/>
    <w:link w:val="692"/>
    <w:uiPriority w:val="9"/>
    <w:pPr>
      <w:pBdr/>
      <w:spacing/>
      <w:ind/>
    </w:pPr>
    <w:rPr>
      <w:rFonts w:ascii="Arial" w:hAnsi="Arial" w:eastAsia="Arial" w:cs="Arial"/>
      <w:sz w:val="34"/>
    </w:rPr>
  </w:style>
  <w:style w:type="paragraph" w:styleId="694">
    <w:name w:val="Heading 3"/>
    <w:basedOn w:val="867"/>
    <w:next w:val="867"/>
    <w:link w:val="695"/>
    <w:uiPriority w:val="9"/>
    <w:unhideWhenUsed/>
    <w:qFormat/>
    <w:pPr>
      <w:keepNext w:val="true"/>
      <w:keepLines w:val="true"/>
      <w:pBdr/>
      <w:spacing w:after="200" w:before="320"/>
      <w:ind/>
      <w:outlineLvl w:val="2"/>
    </w:pPr>
    <w:rPr>
      <w:rFonts w:ascii="Arial" w:hAnsi="Arial" w:eastAsia="Arial" w:cs="Arial"/>
      <w:sz w:val="30"/>
      <w:szCs w:val="30"/>
    </w:rPr>
  </w:style>
  <w:style w:type="character" w:styleId="695">
    <w:name w:val="Heading 3 Char"/>
    <w:basedOn w:val="868"/>
    <w:link w:val="694"/>
    <w:uiPriority w:val="9"/>
    <w:pPr>
      <w:pBdr/>
      <w:spacing/>
      <w:ind/>
    </w:pPr>
    <w:rPr>
      <w:rFonts w:ascii="Arial" w:hAnsi="Arial" w:eastAsia="Arial" w:cs="Arial"/>
      <w:sz w:val="30"/>
      <w:szCs w:val="30"/>
    </w:rPr>
  </w:style>
  <w:style w:type="paragraph" w:styleId="696">
    <w:name w:val="Heading 4"/>
    <w:basedOn w:val="867"/>
    <w:next w:val="867"/>
    <w:link w:val="697"/>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697">
    <w:name w:val="Heading 4 Char"/>
    <w:basedOn w:val="868"/>
    <w:link w:val="696"/>
    <w:uiPriority w:val="9"/>
    <w:pPr>
      <w:pBdr/>
      <w:spacing/>
      <w:ind/>
    </w:pPr>
    <w:rPr>
      <w:rFonts w:ascii="Arial" w:hAnsi="Arial" w:eastAsia="Arial" w:cs="Arial"/>
      <w:b/>
      <w:bCs/>
      <w:sz w:val="26"/>
      <w:szCs w:val="26"/>
    </w:rPr>
  </w:style>
  <w:style w:type="paragraph" w:styleId="698">
    <w:name w:val="Heading 5"/>
    <w:basedOn w:val="867"/>
    <w:next w:val="867"/>
    <w:link w:val="699"/>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699">
    <w:name w:val="Heading 5 Char"/>
    <w:basedOn w:val="868"/>
    <w:link w:val="698"/>
    <w:uiPriority w:val="9"/>
    <w:pPr>
      <w:pBdr/>
      <w:spacing/>
      <w:ind/>
    </w:pPr>
    <w:rPr>
      <w:rFonts w:ascii="Arial" w:hAnsi="Arial" w:eastAsia="Arial" w:cs="Arial"/>
      <w:b/>
      <w:bCs/>
      <w:sz w:val="24"/>
      <w:szCs w:val="24"/>
    </w:rPr>
  </w:style>
  <w:style w:type="paragraph" w:styleId="700">
    <w:name w:val="Heading 6"/>
    <w:basedOn w:val="867"/>
    <w:next w:val="867"/>
    <w:link w:val="701"/>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701">
    <w:name w:val="Heading 6 Char"/>
    <w:basedOn w:val="868"/>
    <w:link w:val="700"/>
    <w:uiPriority w:val="9"/>
    <w:pPr>
      <w:pBdr/>
      <w:spacing/>
      <w:ind/>
    </w:pPr>
    <w:rPr>
      <w:rFonts w:ascii="Arial" w:hAnsi="Arial" w:eastAsia="Arial" w:cs="Arial"/>
      <w:b/>
      <w:bCs/>
      <w:sz w:val="22"/>
      <w:szCs w:val="22"/>
    </w:rPr>
  </w:style>
  <w:style w:type="paragraph" w:styleId="702">
    <w:name w:val="Heading 7"/>
    <w:basedOn w:val="867"/>
    <w:next w:val="867"/>
    <w:link w:val="703"/>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703">
    <w:name w:val="Heading 7 Char"/>
    <w:basedOn w:val="868"/>
    <w:link w:val="702"/>
    <w:uiPriority w:val="9"/>
    <w:pPr>
      <w:pBdr/>
      <w:spacing/>
      <w:ind/>
    </w:pPr>
    <w:rPr>
      <w:rFonts w:ascii="Arial" w:hAnsi="Arial" w:eastAsia="Arial" w:cs="Arial"/>
      <w:b/>
      <w:bCs/>
      <w:i/>
      <w:iCs/>
      <w:sz w:val="22"/>
      <w:szCs w:val="22"/>
    </w:rPr>
  </w:style>
  <w:style w:type="paragraph" w:styleId="704">
    <w:name w:val="Heading 8"/>
    <w:basedOn w:val="867"/>
    <w:next w:val="867"/>
    <w:link w:val="705"/>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705">
    <w:name w:val="Heading 8 Char"/>
    <w:basedOn w:val="868"/>
    <w:link w:val="704"/>
    <w:uiPriority w:val="9"/>
    <w:pPr>
      <w:pBdr/>
      <w:spacing/>
      <w:ind/>
    </w:pPr>
    <w:rPr>
      <w:rFonts w:ascii="Arial" w:hAnsi="Arial" w:eastAsia="Arial" w:cs="Arial"/>
      <w:i/>
      <w:iCs/>
      <w:sz w:val="22"/>
      <w:szCs w:val="22"/>
    </w:rPr>
  </w:style>
  <w:style w:type="paragraph" w:styleId="706">
    <w:name w:val="Heading 9"/>
    <w:basedOn w:val="867"/>
    <w:next w:val="867"/>
    <w:link w:val="707"/>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07">
    <w:name w:val="Heading 9 Char"/>
    <w:basedOn w:val="868"/>
    <w:link w:val="706"/>
    <w:uiPriority w:val="9"/>
    <w:pPr>
      <w:pBdr/>
      <w:spacing/>
      <w:ind/>
    </w:pPr>
    <w:rPr>
      <w:rFonts w:ascii="Arial" w:hAnsi="Arial" w:eastAsia="Arial" w:cs="Arial"/>
      <w:i/>
      <w:iCs/>
      <w:sz w:val="21"/>
      <w:szCs w:val="21"/>
    </w:rPr>
  </w:style>
  <w:style w:type="paragraph" w:styleId="708">
    <w:name w:val="List Paragraph"/>
    <w:basedOn w:val="867"/>
    <w:uiPriority w:val="34"/>
    <w:qFormat/>
    <w:pPr>
      <w:pBdr/>
      <w:spacing/>
      <w:ind w:left="720"/>
      <w:contextualSpacing w:val="true"/>
    </w:pPr>
  </w:style>
  <w:style w:type="paragraph" w:styleId="709">
    <w:name w:val="No Spacing"/>
    <w:uiPriority w:val="1"/>
    <w:qFormat/>
    <w:pPr>
      <w:pBdr/>
      <w:spacing w:after="0" w:before="0" w:line="240" w:lineRule="auto"/>
      <w:ind/>
    </w:pPr>
  </w:style>
  <w:style w:type="paragraph" w:styleId="710">
    <w:name w:val="Title"/>
    <w:basedOn w:val="867"/>
    <w:next w:val="867"/>
    <w:link w:val="711"/>
    <w:uiPriority w:val="10"/>
    <w:qFormat/>
    <w:pPr>
      <w:pBdr/>
      <w:spacing w:after="200" w:before="300"/>
      <w:ind/>
      <w:contextualSpacing w:val="true"/>
    </w:pPr>
    <w:rPr>
      <w:sz w:val="48"/>
      <w:szCs w:val="48"/>
    </w:rPr>
  </w:style>
  <w:style w:type="character" w:styleId="711">
    <w:name w:val="Title Char"/>
    <w:basedOn w:val="868"/>
    <w:link w:val="710"/>
    <w:uiPriority w:val="10"/>
    <w:pPr>
      <w:pBdr/>
      <w:spacing/>
      <w:ind/>
    </w:pPr>
    <w:rPr>
      <w:sz w:val="48"/>
      <w:szCs w:val="48"/>
    </w:rPr>
  </w:style>
  <w:style w:type="paragraph" w:styleId="712">
    <w:name w:val="Subtitle"/>
    <w:basedOn w:val="867"/>
    <w:next w:val="867"/>
    <w:link w:val="713"/>
    <w:uiPriority w:val="11"/>
    <w:qFormat/>
    <w:pPr>
      <w:pBdr/>
      <w:spacing w:after="200" w:before="200"/>
      <w:ind/>
    </w:pPr>
    <w:rPr>
      <w:sz w:val="24"/>
      <w:szCs w:val="24"/>
    </w:rPr>
  </w:style>
  <w:style w:type="character" w:styleId="713">
    <w:name w:val="Subtitle Char"/>
    <w:basedOn w:val="868"/>
    <w:link w:val="712"/>
    <w:uiPriority w:val="11"/>
    <w:pPr>
      <w:pBdr/>
      <w:spacing/>
      <w:ind/>
    </w:pPr>
    <w:rPr>
      <w:sz w:val="24"/>
      <w:szCs w:val="24"/>
    </w:rPr>
  </w:style>
  <w:style w:type="paragraph" w:styleId="714">
    <w:name w:val="Quote"/>
    <w:basedOn w:val="867"/>
    <w:next w:val="867"/>
    <w:link w:val="715"/>
    <w:uiPriority w:val="29"/>
    <w:qFormat/>
    <w:pPr>
      <w:pBdr/>
      <w:spacing/>
      <w:ind w:right="720" w:left="720"/>
    </w:pPr>
    <w:rPr>
      <w:i/>
    </w:rPr>
  </w:style>
  <w:style w:type="character" w:styleId="715">
    <w:name w:val="Quote Char"/>
    <w:link w:val="714"/>
    <w:uiPriority w:val="29"/>
    <w:pPr>
      <w:pBdr/>
      <w:spacing/>
      <w:ind/>
    </w:pPr>
    <w:rPr>
      <w:i/>
    </w:rPr>
  </w:style>
  <w:style w:type="paragraph" w:styleId="716">
    <w:name w:val="Intense Quote"/>
    <w:basedOn w:val="867"/>
    <w:next w:val="867"/>
    <w:link w:val="717"/>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717">
    <w:name w:val="Intense Quote Char"/>
    <w:link w:val="716"/>
    <w:uiPriority w:val="30"/>
    <w:pPr>
      <w:pBdr/>
      <w:spacing/>
      <w:ind/>
    </w:pPr>
    <w:rPr>
      <w:i/>
    </w:rPr>
  </w:style>
  <w:style w:type="character" w:styleId="718">
    <w:name w:val="Header Char"/>
    <w:basedOn w:val="868"/>
    <w:link w:val="871"/>
    <w:uiPriority w:val="99"/>
    <w:pPr>
      <w:pBdr/>
      <w:spacing/>
      <w:ind/>
    </w:pPr>
  </w:style>
  <w:style w:type="paragraph" w:styleId="719">
    <w:name w:val="Footer"/>
    <w:basedOn w:val="867"/>
    <w:link w:val="722"/>
    <w:uiPriority w:val="99"/>
    <w:unhideWhenUsed/>
    <w:pPr>
      <w:pBdr/>
      <w:tabs>
        <w:tab w:val="center" w:leader="none" w:pos="7143"/>
        <w:tab w:val="right" w:leader="none" w:pos="14287"/>
      </w:tabs>
      <w:spacing w:after="0" w:line="240" w:lineRule="auto"/>
      <w:ind/>
    </w:pPr>
  </w:style>
  <w:style w:type="character" w:styleId="720">
    <w:name w:val="Footer Char"/>
    <w:basedOn w:val="868"/>
    <w:link w:val="719"/>
    <w:uiPriority w:val="99"/>
    <w:pPr>
      <w:pBdr/>
      <w:spacing/>
      <w:ind/>
    </w:pPr>
  </w:style>
  <w:style w:type="paragraph" w:styleId="721">
    <w:name w:val="Caption"/>
    <w:basedOn w:val="867"/>
    <w:next w:val="867"/>
    <w:uiPriority w:val="35"/>
    <w:semiHidden/>
    <w:unhideWhenUsed/>
    <w:qFormat/>
    <w:pPr>
      <w:pBdr/>
      <w:spacing w:line="276" w:lineRule="auto"/>
      <w:ind/>
    </w:pPr>
    <w:rPr>
      <w:b/>
      <w:bCs/>
      <w:color w:val="4f81bd" w:themeColor="accent1"/>
      <w:sz w:val="18"/>
      <w:szCs w:val="18"/>
    </w:rPr>
  </w:style>
  <w:style w:type="character" w:styleId="722">
    <w:name w:val="Caption Char"/>
    <w:basedOn w:val="721"/>
    <w:link w:val="719"/>
    <w:uiPriority w:val="99"/>
    <w:pPr>
      <w:pBdr/>
      <w:spacing/>
      <w:ind/>
    </w:pPr>
  </w:style>
  <w:style w:type="table" w:styleId="723">
    <w:name w:val="Table Grid"/>
    <w:basedOn w:val="869"/>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Table Grid Light"/>
    <w:basedOn w:val="869"/>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Plain Table 1"/>
    <w:basedOn w:val="869"/>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Plain Table 2"/>
    <w:basedOn w:val="869"/>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Plain Table 3"/>
    <w:basedOn w:val="86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Plain Table 4"/>
    <w:basedOn w:val="86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Plain Table 5"/>
    <w:basedOn w:val="86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1 Light"/>
    <w:basedOn w:val="86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1 Light - Accent 1"/>
    <w:basedOn w:val="86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 Accent 2"/>
    <w:basedOn w:val="86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1 Light - Accent 3"/>
    <w:basedOn w:val="86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1 Light - Accent 4"/>
    <w:basedOn w:val="86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1 Light - Accent 5"/>
    <w:basedOn w:val="86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1 Light - Accent 6"/>
    <w:basedOn w:val="86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2"/>
    <w:basedOn w:val="86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2 - Accent 1"/>
    <w:basedOn w:val="86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 Accent 2"/>
    <w:basedOn w:val="86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2 - Accent 3"/>
    <w:basedOn w:val="86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2 - Accent 4"/>
    <w:basedOn w:val="86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2 - Accent 5"/>
    <w:basedOn w:val="86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2 - Accent 6"/>
    <w:basedOn w:val="86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3"/>
    <w:basedOn w:val="86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3 - Accent 1"/>
    <w:basedOn w:val="86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 Accent 2"/>
    <w:basedOn w:val="86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3 - Accent 3"/>
    <w:basedOn w:val="86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3 - Accent 4"/>
    <w:basedOn w:val="86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3 - Accent 5"/>
    <w:basedOn w:val="86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3 - Accent 6"/>
    <w:basedOn w:val="86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4"/>
    <w:basedOn w:val="86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4 - Accent 1"/>
    <w:basedOn w:val="86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6"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6"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 Accent 2"/>
    <w:basedOn w:val="86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4 - Accent 3"/>
    <w:basedOn w:val="86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4 - Accent 4"/>
    <w:basedOn w:val="86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4 - Accent 5"/>
    <w:basedOn w:val="86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4 - Accent 6"/>
    <w:basedOn w:val="86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5 Dark"/>
    <w:basedOn w:val="8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5 Dark- Accent 1"/>
    <w:basedOn w:val="8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cPr>
      <w:tcBorders/>
    </w:tcPr>
    <w:tblStylePr w:type="band1Horz">
      <w:pPr>
        <w:pBdr/>
        <w:spacing/>
        <w:ind/>
      </w:pPr>
      <w:tblPr>
        <w:tblBorders/>
      </w:tblPr>
      <w:tcPr>
        <w:shd w:val="clear" w:color="ffffff" w:themeColor="accent1" w:themeTint="75" w:fill="b4d2eb" w:themeFill="accent1" w:themeFillTint="75"/>
        <w:tcBorders/>
      </w:tcPr>
    </w:tblStylePr>
    <w:tblStylePr w:type="band1Vert">
      <w:pPr>
        <w:pBdr/>
        <w:spacing/>
        <w:ind/>
      </w:pPr>
      <w:tblPr>
        <w:tblBorders/>
      </w:tblPr>
      <w:tcPr>
        <w:shd w:val="clear" w:color="ffffff" w:themeColor="accent1" w:themeTint="75" w:fill="b4d2eb"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 Accent 2"/>
    <w:basedOn w:val="8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cPr>
      <w:tcBorders/>
    </w:tcPr>
    <w:tblStylePr w:type="band1Horz">
      <w:pPr>
        <w:pBdr/>
        <w:spacing/>
        <w:ind/>
      </w:pPr>
      <w:tblPr>
        <w:tblBorders/>
      </w:tblPr>
      <w:tcPr>
        <w:shd w:val="clear" w:color="ffffff" w:themeColor="accent2" w:themeTint="75" w:fill="f6c3a1" w:themeFill="accent2" w:themeFillTint="75"/>
        <w:tcBorders/>
      </w:tcPr>
    </w:tblStylePr>
    <w:tblStylePr w:type="band1Vert">
      <w:pPr>
        <w:pBdr/>
        <w:spacing/>
        <w:ind/>
      </w:pPr>
      <w:tblPr>
        <w:tblBorders/>
      </w:tblPr>
      <w:tcPr>
        <w:shd w:val="clear" w:color="ffffff" w:themeColor="accent2" w:themeTint="75" w:fill="f6c3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5 Dark - Accent 3"/>
    <w:basedOn w:val="8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5 Dark- Accent 4"/>
    <w:basedOn w:val="8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cPr>
      <w:tcBorders/>
    </w:tcPr>
    <w:tblStylePr w:type="band1Horz">
      <w:pPr>
        <w:pBdr/>
        <w:spacing/>
        <w:ind/>
      </w:pPr>
      <w:tblPr>
        <w:tblBorders/>
      </w:tblPr>
      <w:tcPr>
        <w:shd w:val="clear" w:color="ffffff" w:themeColor="accent4" w:themeTint="75" w:fill="fee189" w:themeFill="accent4" w:themeFillTint="75"/>
        <w:tcBorders/>
      </w:tcPr>
    </w:tblStylePr>
    <w:tblStylePr w:type="band1Vert">
      <w:pPr>
        <w:pBdr/>
        <w:spacing/>
        <w:ind/>
      </w:pPr>
      <w:tblPr>
        <w:tblBorders/>
      </w:tblPr>
      <w:tcPr>
        <w:shd w:val="clear" w:color="ffffff" w:themeColor="accent4" w:themeTint="75" w:fill="fee189"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5 Dark - Accent 5"/>
    <w:basedOn w:val="8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cPr>
      <w:tcBorders/>
    </w:tcPr>
    <w:tblStylePr w:type="band1Horz">
      <w:pPr>
        <w:pBdr/>
        <w:spacing/>
        <w:ind/>
      </w:pPr>
      <w:tblPr>
        <w:tblBorders/>
      </w:tblPr>
      <w:tcPr>
        <w:shd w:val="clear" w:color="ffffff" w:themeColor="accent5" w:themeTint="75" w:fill="aabfe3" w:themeFill="accent5" w:themeFillTint="75"/>
        <w:tcBorders/>
      </w:tcPr>
    </w:tblStylePr>
    <w:tblStylePr w:type="band1Vert">
      <w:pPr>
        <w:pBdr/>
        <w:spacing/>
        <w:ind/>
      </w:pPr>
      <w:tblPr>
        <w:tblBorders/>
      </w:tblPr>
      <w:tcPr>
        <w:shd w:val="clear" w:color="ffffff" w:themeColor="accent5" w:themeTint="75" w:fill="aabfe3"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5 Dark - Accent 6"/>
    <w:basedOn w:val="86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cPr>
      <w:tcBorders/>
    </w:tcPr>
    <w:tblStylePr w:type="band1Horz">
      <w:pPr>
        <w:pBdr/>
        <w:spacing/>
        <w:ind/>
      </w:pPr>
      <w:tblPr>
        <w:tblBorders/>
      </w:tblPr>
      <w:tcPr>
        <w:shd w:val="clear" w:color="ffffff" w:themeColor="accent6" w:themeTint="75" w:fill="bedba8" w:themeFill="accent6" w:themeFillTint="75"/>
        <w:tcBorders/>
      </w:tcPr>
    </w:tblStylePr>
    <w:tblStylePr w:type="band1Vert">
      <w:pPr>
        <w:pBdr/>
        <w:spacing/>
        <w:ind/>
      </w:pPr>
      <w:tblPr>
        <w:tblBorders/>
      </w:tblPr>
      <w:tcPr>
        <w:shd w:val="clear" w:color="ffffff" w:themeColor="accent6" w:themeTint="75" w:fill="be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6 Colorful"/>
    <w:basedOn w:val="86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6">
    <w:name w:val="Grid Table 6 Colorful - Accent 1"/>
    <w:basedOn w:val="86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debf6" w:themeFill="accent1" w:themeFillTint="34"/>
        <w:tcBorders/>
      </w:tcPr>
    </w:tblStylePr>
    <w:tblStylePr w:type="band1Vert">
      <w:pPr>
        <w:pBdr/>
        <w:spacing/>
        <w:ind/>
      </w:pPr>
      <w:tblPr>
        <w:tblBorders/>
      </w:tblPr>
      <w:tcPr>
        <w:shd w:val="clear" w:color="ffffff" w:themeColor="accent1" w:themeTint="34" w:fill="dd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17bba" w:themeColor="accent1" w:themeTint="80" w:themeShade="95"/>
      </w:rPr>
      <w:pPr>
        <w:pBdr/>
        <w:spacing/>
        <w:ind/>
      </w:pPr>
      <w:tblPr>
        <w:tblBorders/>
      </w:tblPr>
      <w:tcPr>
        <w:tcBorders/>
      </w:tcPr>
    </w:tblStylePr>
    <w:tblStylePr w:type="firstRow">
      <w:rPr>
        <w:b/>
        <w:color w:val="317bba" w:themeColor="accent1" w:themeTint="80" w:themeShade="95"/>
      </w:rPr>
      <w:pPr>
        <w:pBdr/>
        <w:spacing/>
        <w:ind/>
      </w:pPr>
      <w:tblPr>
        <w:tblBorders/>
      </w:tblPr>
      <w:tcPr>
        <w:tcBorders>
          <w:bottom w:val="single" w:color="000000" w:themeColor="accent1" w:themeTint="80" w:sz="12" w:space="0"/>
        </w:tcBorders>
      </w:tcPr>
    </w:tblStylePr>
    <w:tblStylePr w:type="lastCol">
      <w:rPr>
        <w:b/>
        <w:color w:val="317bba" w:themeColor="accent1" w:themeTint="80" w:themeShade="95"/>
      </w:rPr>
      <w:pPr>
        <w:pBdr/>
        <w:spacing/>
        <w:ind/>
      </w:pPr>
      <w:tblPr>
        <w:tblBorders/>
      </w:tblPr>
      <w:tcPr>
        <w:tcBorders/>
      </w:tcPr>
    </w:tblStylePr>
    <w:tblStylePr w:type="lastRow">
      <w:rPr>
        <w:b/>
        <w:color w:val="317bba"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7">
    <w:name w:val="Grid Table 6 Colorful - Accent 2"/>
    <w:basedOn w:val="86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12"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68">
    <w:name w:val="Grid Table 6 Colorful - Accent 3"/>
    <w:basedOn w:val="86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69">
    <w:name w:val="Grid Table 6 Colorful - Accent 4"/>
    <w:basedOn w:val="86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12"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70">
    <w:name w:val="Grid Table 6 Colorful - Accent 5"/>
    <w:basedOn w:val="86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2" w:themeFill="accent5" w:themeFillTint="34"/>
        <w:tcBorders/>
      </w:tcPr>
    </w:tblStylePr>
    <w:tblStylePr w:type="band1Vert">
      <w:pPr>
        <w:pBdr/>
        <w:spacing/>
        <w:ind/>
      </w:pPr>
      <w:tblPr>
        <w:tblBorders/>
      </w:tblPr>
      <w:tcPr>
        <w:shd w:val="clear" w:color="ffffff" w:themeColor="accent5" w:themeTint="34" w:fill="d9e2f2"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374" w:themeColor="accent5" w:themeShade="95"/>
      </w:rPr>
      <w:pPr>
        <w:pBdr/>
        <w:spacing/>
        <w:ind/>
      </w:pPr>
      <w:tblPr>
        <w:tblBorders/>
      </w:tblPr>
      <w:tcPr>
        <w:tcBorders/>
      </w:tcPr>
    </w:tblStylePr>
    <w:tblStylePr w:type="firstRow">
      <w:rPr>
        <w:b/>
        <w:color w:val="254374" w:themeColor="accent5" w:themeShade="95"/>
      </w:rPr>
      <w:pPr>
        <w:pBdr/>
        <w:spacing/>
        <w:ind/>
      </w:pPr>
      <w:tblPr>
        <w:tblBorders/>
      </w:tblPr>
      <w:tcPr>
        <w:tcBorders>
          <w:bottom w:val="single" w:color="000000" w:themeColor="accent5" w:sz="12" w:space="0"/>
        </w:tcBorders>
      </w:tcPr>
    </w:tblStylePr>
    <w:tblStylePr w:type="lastCol">
      <w:rPr>
        <w:b/>
        <w:color w:val="254374" w:themeColor="accent5" w:themeShade="95"/>
      </w:rPr>
      <w:pPr>
        <w:pBdr/>
        <w:spacing/>
        <w:ind/>
      </w:pPr>
      <w:tblPr>
        <w:tblBorders/>
      </w:tblPr>
      <w:tcPr>
        <w:tcBorders/>
      </w:tcPr>
    </w:tblStylePr>
    <w:tblStylePr w:type="lastRow">
      <w:rPr>
        <w:b/>
        <w:color w:val="254374"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1">
    <w:name w:val="Grid Table 6 Colorful - Accent 6"/>
    <w:basedOn w:val="86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374" w:themeColor="accent5" w:themeShade="95"/>
      </w:rPr>
      <w:pPr>
        <w:pBdr/>
        <w:spacing/>
        <w:ind/>
      </w:pPr>
      <w:tblPr>
        <w:tblBorders/>
      </w:tblPr>
      <w:tcPr>
        <w:tcBorders/>
      </w:tcPr>
    </w:tblStylePr>
    <w:tblStylePr w:type="firstRow">
      <w:rPr>
        <w:b/>
        <w:color w:val="254374" w:themeColor="accent5" w:themeShade="95"/>
      </w:rPr>
      <w:pPr>
        <w:pBdr/>
        <w:spacing/>
        <w:ind/>
      </w:pPr>
      <w:tblPr>
        <w:tblBorders/>
      </w:tblPr>
      <w:tcPr>
        <w:tcBorders>
          <w:bottom w:val="single" w:color="000000" w:themeColor="accent6" w:sz="12" w:space="0"/>
        </w:tcBorders>
      </w:tcPr>
    </w:tblStylePr>
    <w:tblStylePr w:type="lastCol">
      <w:rPr>
        <w:b/>
        <w:color w:val="254374" w:themeColor="accent5" w:themeShade="95"/>
      </w:rPr>
      <w:pPr>
        <w:pBdr/>
        <w:spacing/>
        <w:ind/>
      </w:pPr>
      <w:tblPr>
        <w:tblBorders/>
      </w:tblPr>
      <w:tcPr>
        <w:tcBorders/>
      </w:tcPr>
    </w:tblStylePr>
    <w:tblStylePr w:type="lastRow">
      <w:rPr>
        <w:b/>
        <w:color w:val="254374"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2">
    <w:name w:val="Grid Table 7 Colorful"/>
    <w:basedOn w:val="86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7 Colorful - Accent 1"/>
    <w:basedOn w:val="86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17bba" w:themeColor="accent1" w:themeTint="80" w:themeShade="95"/>
        <w:sz w:val="22"/>
      </w:rPr>
      <w:pPr>
        <w:pBdr/>
        <w:spacing/>
        <w:ind/>
      </w:pPr>
      <w:tblPr>
        <w:tblBorders/>
      </w:tblPr>
      <w:tcPr>
        <w:shd w:val="clear" w:color="ffffff" w:themeColor="accent1" w:themeTint="34" w:fill="ddebf6" w:themeFill="accent1" w:themeFillTint="34"/>
        <w:tcBorders/>
      </w:tcPr>
    </w:tblStylePr>
    <w:tblStylePr w:type="band1Vert">
      <w:pPr>
        <w:pBdr/>
        <w:spacing/>
        <w:ind/>
      </w:pPr>
      <w:tblPr>
        <w:tblBorders/>
      </w:tblPr>
      <w:tcPr>
        <w:shd w:val="clear" w:color="ffffff" w:themeColor="accent1" w:themeTint="34" w:fill="ddebf6" w:themeFill="accent1" w:themeFillTint="34"/>
        <w:tcBorders/>
      </w:tcPr>
    </w:tblStylePr>
    <w:tblStylePr w:type="band2Horz">
      <w:rPr>
        <w:rFonts w:ascii="Arial" w:hAnsi="Arial"/>
        <w:color w:val="317bb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17bba"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7 Colorful - Accent 2"/>
    <w:basedOn w:val="86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7 Colorful - Accent 3"/>
    <w:basedOn w:val="86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7 Colorful - Accent 4"/>
    <w:basedOn w:val="86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7 Colorful - Accent 5"/>
    <w:basedOn w:val="86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374" w:themeColor="accent5" w:themeShade="95"/>
        <w:sz w:val="22"/>
      </w:rPr>
      <w:pPr>
        <w:pBdr/>
        <w:spacing/>
        <w:ind/>
      </w:pPr>
      <w:tblPr>
        <w:tblBorders/>
      </w:tblPr>
      <w:tcPr>
        <w:shd w:val="clear" w:color="ffffff" w:themeColor="accent5" w:themeTint="34" w:fill="d9e2f2" w:themeFill="accent5" w:themeFillTint="34"/>
        <w:tcBorders/>
      </w:tcPr>
    </w:tblStylePr>
    <w:tblStylePr w:type="band1Vert">
      <w:pPr>
        <w:pBdr/>
        <w:spacing/>
        <w:ind/>
      </w:pPr>
      <w:tblPr>
        <w:tblBorders/>
      </w:tblPr>
      <w:tcPr>
        <w:shd w:val="clear" w:color="ffffff" w:themeColor="accent5" w:themeTint="34" w:fill="d9e2f2" w:themeFill="accent5" w:themeFillTint="34"/>
        <w:tcBorders/>
      </w:tcPr>
    </w:tblStylePr>
    <w:tblStylePr w:type="band2Horz">
      <w:rPr>
        <w:rFonts w:ascii="Arial" w:hAnsi="Arial"/>
        <w:color w:val="254374"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374"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7 Colorful - Accent 6"/>
    <w:basedOn w:val="86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26429" w:themeColor="accent6"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2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264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1 Light"/>
    <w:basedOn w:val="8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1 Light - Accent 1"/>
    <w:basedOn w:val="8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5e6f4" w:themeFill="accent1" w:themeFillTint="40"/>
        <w:tcBorders/>
      </w:tcPr>
    </w:tblStylePr>
    <w:tblStylePr w:type="band1Vert">
      <w:pPr>
        <w:pBdr/>
        <w:spacing/>
        <w:ind/>
      </w:pPr>
      <w:tblPr>
        <w:tblBorders/>
      </w:tblPr>
      <w:tcPr>
        <w:shd w:val="clear" w:color="ffffff" w:themeColor="accent1" w:themeTint="40" w:fill="d5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 Accent 2"/>
    <w:basedOn w:val="8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1 Light - Accent 3"/>
    <w:basedOn w:val="8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1 Light - Accent 4"/>
    <w:basedOn w:val="8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1 Light - Accent 5"/>
    <w:basedOn w:val="8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cfdcf0" w:themeFill="accent5" w:themeFillTint="40"/>
        <w:tcBorders/>
      </w:tcPr>
    </w:tblStylePr>
    <w:tblStylePr w:type="band1Vert">
      <w:pPr>
        <w:pBdr/>
        <w:spacing/>
        <w:ind/>
      </w:pPr>
      <w:tblPr>
        <w:tblBorders/>
      </w:tblPr>
      <w:tcPr>
        <w:shd w:val="clear" w:color="ffffff" w:themeColor="accent5" w:themeTint="40" w:fill="cf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1 Light - Accent 6"/>
    <w:basedOn w:val="86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2"/>
    <w:basedOn w:val="86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2 - Accent 1"/>
    <w:basedOn w:val="86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 Accent 2"/>
    <w:basedOn w:val="86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2 - Accent 3"/>
    <w:basedOn w:val="86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2 - Accent 4"/>
    <w:basedOn w:val="86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2 - Accent 5"/>
    <w:basedOn w:val="86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2 - Accent 6"/>
    <w:basedOn w:val="86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3"/>
    <w:basedOn w:val="86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3 - Accent 1"/>
    <w:basedOn w:val="86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 Accent 2"/>
    <w:basedOn w:val="86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3 - Accent 3"/>
    <w:basedOn w:val="86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3 - Accent 4"/>
    <w:basedOn w:val="86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3 - Accent 5"/>
    <w:basedOn w:val="86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b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3 - Accent 6"/>
    <w:basedOn w:val="86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ad0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4"/>
    <w:basedOn w:val="86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4 - Accent 1"/>
    <w:basedOn w:val="86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 Accent 2"/>
    <w:basedOn w:val="86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4 - Accent 3"/>
    <w:basedOn w:val="86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4 - Accent 4"/>
    <w:basedOn w:val="86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4 - Accent 5"/>
    <w:basedOn w:val="86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4 - Accent 6"/>
    <w:basedOn w:val="86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5 Dark"/>
    <w:basedOn w:val="86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8">
    <w:name w:val="List Table 5 Dark - Accent 1"/>
    <w:basedOn w:val="86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9">
    <w:name w:val="List Table 5 Dark - Accent 2"/>
    <w:basedOn w:val="86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cPr>
      <w:tcBorders/>
    </w:tcPr>
    <w:tblStylePr w:type="band1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5 Dark - Accent 3"/>
    <w:basedOn w:val="86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1">
    <w:name w:val="List Table 5 Dark - Accent 4"/>
    <w:basedOn w:val="86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cPr>
      <w:tcBorders/>
    </w:tcPr>
    <w:tblStylePr w:type="band1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2">
    <w:name w:val="List Table 5 Dark - Accent 5"/>
    <w:basedOn w:val="86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cPr>
      <w:tcBorders/>
    </w:tcPr>
    <w:tblStylePr w:type="band1Horz">
      <w:pPr>
        <w:pBdr/>
        <w:spacing/>
        <w:ind/>
      </w:pPr>
      <w:tblPr>
        <w:tblBorders/>
      </w:tblPr>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3">
    <w:name w:val="List Table 5 Dark - Accent 6"/>
    <w:basedOn w:val="86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cPr>
      <w:tcBorders/>
    </w:tcPr>
    <w:tblStylePr w:type="band1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4">
    <w:name w:val="List Table 6 Colorful"/>
    <w:basedOn w:val="86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6 Colorful - Accent 1"/>
    <w:basedOn w:val="86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5e6f4" w:themeFill="accent1" w:themeFillTint="40"/>
        <w:tcBorders/>
      </w:tcPr>
    </w:tblStylePr>
    <w:tblStylePr w:type="band1Vert">
      <w:pPr>
        <w:pBdr/>
        <w:spacing/>
        <w:ind/>
      </w:pPr>
      <w:tblPr>
        <w:tblBorders/>
      </w:tblPr>
      <w:tcPr>
        <w:shd w:val="clear" w:color="ffffff" w:themeColor="accent1" w:themeTint="40" w:fill="d5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d8d" w:themeColor="accent1" w:themeShade="95"/>
      </w:rPr>
      <w:pPr>
        <w:pBdr/>
        <w:spacing/>
        <w:ind/>
      </w:pPr>
      <w:tblPr>
        <w:tblBorders/>
      </w:tblPr>
      <w:tcPr>
        <w:tcBorders/>
      </w:tcPr>
    </w:tblStylePr>
    <w:tblStylePr w:type="firstRow">
      <w:rPr>
        <w:b/>
        <w:color w:val="245d8d" w:themeColor="accent1" w:themeShade="95"/>
      </w:rPr>
      <w:pPr>
        <w:pBdr/>
        <w:spacing/>
        <w:ind/>
      </w:pPr>
      <w:tblPr>
        <w:tblBorders/>
      </w:tblPr>
      <w:tcPr>
        <w:tcBorders>
          <w:bottom w:val="single" w:color="000000" w:themeColor="accent1" w:sz="4" w:space="0"/>
        </w:tcBorders>
      </w:tcPr>
    </w:tblStylePr>
    <w:tblStylePr w:type="lastCol">
      <w:rPr>
        <w:b/>
        <w:color w:val="245d8d" w:themeColor="accent1" w:themeShade="95"/>
      </w:rPr>
      <w:pPr>
        <w:pBdr/>
        <w:spacing/>
        <w:ind/>
      </w:pPr>
      <w:tblPr>
        <w:tblBorders/>
      </w:tblPr>
      <w:tcPr>
        <w:tcBorders/>
      </w:tcPr>
    </w:tblStylePr>
    <w:tblStylePr w:type="lastRow">
      <w:rPr>
        <w:b/>
        <w:color w:val="245d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6 Colorful - Accent 2"/>
    <w:basedOn w:val="86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4"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6 Colorful - Accent 3"/>
    <w:basedOn w:val="86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6 Colorful - Accent 4"/>
    <w:basedOn w:val="86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4"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6 Colorful - Accent 5"/>
    <w:basedOn w:val="86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cfdcf0" w:themeFill="accent5" w:themeFillTint="40"/>
        <w:tcBorders/>
      </w:tcPr>
    </w:tblStylePr>
    <w:tblStylePr w:type="band1Vert">
      <w:pPr>
        <w:pBdr/>
        <w:spacing/>
        <w:ind/>
      </w:pPr>
      <w:tblPr>
        <w:tblBorders/>
      </w:tblPr>
      <w:tcPr>
        <w:shd w:val="clear" w:color="ffffff" w:themeColor="accent5" w:themeTint="40" w:fill="cf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e9e" w:themeColor="accent5" w:themeTint="9A" w:themeShade="95"/>
      </w:rPr>
      <w:pPr>
        <w:pBdr/>
        <w:spacing/>
        <w:ind/>
      </w:pPr>
      <w:tblPr>
        <w:tblBorders/>
      </w:tblPr>
      <w:tcPr>
        <w:tcBorders/>
      </w:tcPr>
    </w:tblStylePr>
    <w:tblStylePr w:type="firstRow">
      <w:rPr>
        <w:b/>
        <w:color w:val="335e9e" w:themeColor="accent5" w:themeTint="9A" w:themeShade="95"/>
      </w:rPr>
      <w:pPr>
        <w:pBdr/>
        <w:spacing/>
        <w:ind/>
      </w:pPr>
      <w:tblPr>
        <w:tblBorders/>
      </w:tblPr>
      <w:tcPr>
        <w:tcBorders>
          <w:bottom w:val="single" w:color="000000" w:themeColor="accent5" w:themeTint="9A" w:sz="4" w:space="0"/>
        </w:tcBorders>
      </w:tcPr>
    </w:tblStylePr>
    <w:tblStylePr w:type="lastCol">
      <w:rPr>
        <w:b/>
        <w:color w:val="335e9e" w:themeColor="accent5" w:themeTint="9A" w:themeShade="95"/>
      </w:rPr>
      <w:pPr>
        <w:pBdr/>
        <w:spacing/>
        <w:ind/>
      </w:pPr>
      <w:tblPr>
        <w:tblBorders/>
      </w:tblPr>
      <w:tcPr>
        <w:tcBorders/>
      </w:tcPr>
    </w:tblStylePr>
    <w:tblStylePr w:type="lastRow">
      <w:rPr>
        <w:b/>
        <w:color w:val="335e9e"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6 Colorful - Accent 6"/>
    <w:basedOn w:val="86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f8f3c" w:themeColor="accent6" w:themeTint="98" w:themeShade="95"/>
      </w:rPr>
      <w:pPr>
        <w:pBdr/>
        <w:spacing/>
        <w:ind/>
      </w:pPr>
      <w:tblPr>
        <w:tblBorders/>
      </w:tblPr>
      <w:tcPr>
        <w:tcBorders/>
      </w:tcPr>
    </w:tblStylePr>
    <w:tblStylePr w:type="firstRow">
      <w:rPr>
        <w:b/>
        <w:color w:val="5f8f3c" w:themeColor="accent6" w:themeTint="98" w:themeShade="95"/>
      </w:rPr>
      <w:pPr>
        <w:pBdr/>
        <w:spacing/>
        <w:ind/>
      </w:pPr>
      <w:tblPr>
        <w:tblBorders/>
      </w:tblPr>
      <w:tcPr>
        <w:tcBorders>
          <w:bottom w:val="single" w:color="000000" w:themeColor="accent6" w:themeTint="98" w:sz="4" w:space="0"/>
        </w:tcBorders>
      </w:tcPr>
    </w:tblStylePr>
    <w:tblStylePr w:type="lastCol">
      <w:rPr>
        <w:b/>
        <w:color w:val="5f8f3c" w:themeColor="accent6" w:themeTint="98" w:themeShade="95"/>
      </w:rPr>
      <w:pPr>
        <w:pBdr/>
        <w:spacing/>
        <w:ind/>
      </w:pPr>
      <w:tblPr>
        <w:tblBorders/>
      </w:tblPr>
      <w:tcPr>
        <w:tcBorders/>
      </w:tcPr>
    </w:tblStylePr>
    <w:tblStylePr w:type="lastRow">
      <w:rPr>
        <w:b/>
        <w:color w:val="5f8f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7 Colorful"/>
    <w:basedOn w:val="86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22">
    <w:name w:val="List Table 7 Colorful - Accent 1"/>
    <w:basedOn w:val="86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d8d" w:themeColor="accent1" w:themeShade="95"/>
        <w:sz w:val="22"/>
      </w:rPr>
      <w:pPr>
        <w:pBdr/>
        <w:spacing/>
        <w:ind/>
      </w:pPr>
      <w:tblPr>
        <w:tblBorders/>
      </w:tblPr>
      <w:tcPr>
        <w:shd w:val="clear" w:color="ffffff" w:themeColor="accent1" w:themeTint="40" w:fill="d5e6f4" w:themeFill="accent1" w:themeFillTint="40"/>
        <w:tcBorders/>
      </w:tcPr>
    </w:tblStylePr>
    <w:tblStylePr w:type="band1Vert">
      <w:pPr>
        <w:pBdr/>
        <w:spacing/>
        <w:ind/>
      </w:pPr>
      <w:tblPr>
        <w:tblBorders/>
      </w:tblPr>
      <w:tcPr>
        <w:shd w:val="clear" w:color="ffffff" w:themeColor="accent1" w:themeTint="40" w:fill="d5e6f4" w:themeFill="accent1" w:themeFillTint="40"/>
        <w:tcBorders/>
      </w:tcPr>
    </w:tblStylePr>
    <w:tblStylePr w:type="band2Horz">
      <w:rPr>
        <w:rFonts w:ascii="Arial" w:hAnsi="Arial"/>
        <w:color w:val="245d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d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d8d" w:themeColor="accent1" w:themeShade="95"/>
        <w:sz w:val="22"/>
      </w:rPr>
      <w:pPr>
        <w:pBdr/>
        <w:spacing/>
        <w:ind/>
      </w:pPr>
      <w:tblPr>
        <w:tblBorders/>
      </w:tblPr>
      <w:tcPr>
        <w:tcBorders/>
      </w:tcPr>
    </w:tblStylePr>
  </w:style>
  <w:style w:type="table" w:styleId="823">
    <w:name w:val="List Table 7 Colorful - Accent 2"/>
    <w:basedOn w:val="86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95712" w:themeColor="accent2" w:themeTint="97" w:themeShade="95"/>
        <w:sz w:val="22"/>
      </w:rPr>
      <w:pPr>
        <w:pBdr/>
        <w:spacing/>
        <w:ind/>
      </w:pPr>
      <w:tblPr>
        <w:tblBorders/>
      </w:tblPr>
      <w:tcPr>
        <w:tcBorders/>
      </w:tcPr>
    </w:tblStylePr>
  </w:style>
  <w:style w:type="table" w:styleId="824">
    <w:name w:val="List Table 7 Colorful - Accent 3"/>
    <w:basedOn w:val="86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25">
    <w:name w:val="List Table 7 Colorful - Accent 4"/>
    <w:basedOn w:val="86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d9600" w:themeColor="accent4" w:themeTint="9A" w:themeShade="95"/>
        <w:sz w:val="22"/>
      </w:rPr>
      <w:pPr>
        <w:pBdr/>
        <w:spacing/>
        <w:ind/>
      </w:pPr>
      <w:tblPr>
        <w:tblBorders/>
      </w:tblPr>
      <w:tcPr>
        <w:tcBorders/>
      </w:tcPr>
    </w:tblStylePr>
  </w:style>
  <w:style w:type="table" w:styleId="826">
    <w:name w:val="List Table 7 Colorful - Accent 5"/>
    <w:basedOn w:val="86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e9e" w:themeColor="accent5" w:themeTint="9A" w:themeShade="95"/>
        <w:sz w:val="22"/>
      </w:rPr>
      <w:pPr>
        <w:pBdr/>
        <w:spacing/>
        <w:ind/>
      </w:pPr>
      <w:tblPr>
        <w:tblBorders/>
      </w:tblPr>
      <w:tcPr>
        <w:shd w:val="clear" w:color="ffffff" w:themeColor="accent5" w:themeTint="40" w:fill="cfdcf0" w:themeFill="accent5" w:themeFillTint="40"/>
        <w:tcBorders/>
      </w:tcPr>
    </w:tblStylePr>
    <w:tblStylePr w:type="band1Vert">
      <w:pPr>
        <w:pBdr/>
        <w:spacing/>
        <w:ind/>
      </w:pPr>
      <w:tblPr>
        <w:tblBorders/>
      </w:tblPr>
      <w:tcPr>
        <w:shd w:val="clear" w:color="ffffff" w:themeColor="accent5" w:themeTint="40" w:fill="cfdcf0" w:themeFill="accent5" w:themeFillTint="40"/>
        <w:tcBorders/>
      </w:tcPr>
    </w:tblStylePr>
    <w:tblStylePr w:type="band2Horz">
      <w:rPr>
        <w:rFonts w:ascii="Arial" w:hAnsi="Arial"/>
        <w:color w:val="335e9e"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e9e"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e9e" w:themeColor="accent5" w:themeTint="9A" w:themeShade="95"/>
        <w:sz w:val="22"/>
      </w:rPr>
      <w:pPr>
        <w:pBdr/>
        <w:spacing/>
        <w:ind/>
      </w:pPr>
      <w:tblPr>
        <w:tblBorders/>
      </w:tblPr>
      <w:tcPr>
        <w:tcBorders/>
      </w:tcPr>
    </w:tblStylePr>
  </w:style>
  <w:style w:type="table" w:styleId="827">
    <w:name w:val="List Table 7 Colorful - Accent 6"/>
    <w:basedOn w:val="86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f8f3c"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5f8f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f8f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f8f3c" w:themeColor="accent6" w:themeTint="98" w:themeShade="95"/>
        <w:sz w:val="22"/>
      </w:rPr>
      <w:pPr>
        <w:pBdr/>
        <w:spacing/>
        <w:ind/>
      </w:pPr>
      <w:tblPr>
        <w:tblBorders/>
      </w:tblPr>
      <w:tcPr>
        <w:tcBorders/>
      </w:tcPr>
    </w:tblStylePr>
  </w:style>
  <w:style w:type="table" w:styleId="828">
    <w:name w:val="Lined - Accent"/>
    <w:basedOn w:val="8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ned - Accent 1"/>
    <w:basedOn w:val="8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ned - Accent 2"/>
    <w:basedOn w:val="8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ned - Accent 3"/>
    <w:basedOn w:val="8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ned - Accent 4"/>
    <w:basedOn w:val="8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ned - Accent 5"/>
    <w:basedOn w:val="8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ned - Accent 6"/>
    <w:basedOn w:val="86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amp; Lined - Accent"/>
    <w:basedOn w:val="86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amp; Lined - Accent 1"/>
    <w:basedOn w:val="86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2"/>
    <w:basedOn w:val="86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amp; Lined - Accent 3"/>
    <w:basedOn w:val="86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amp; Lined - Accent 4"/>
    <w:basedOn w:val="86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amp; Lined - Accent 5"/>
    <w:basedOn w:val="86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amp; Lined - Accent 6"/>
    <w:basedOn w:val="86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w:basedOn w:val="86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 Accent 1"/>
    <w:basedOn w:val="86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 Accent 2"/>
    <w:basedOn w:val="86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 Accent 3"/>
    <w:basedOn w:val="86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 Accent 4"/>
    <w:basedOn w:val="86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Bordered - Accent 5"/>
    <w:basedOn w:val="86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 Accent 6"/>
    <w:basedOn w:val="86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49">
    <w:name w:val="Hyperlink"/>
    <w:uiPriority w:val="99"/>
    <w:unhideWhenUsed/>
    <w:pPr>
      <w:pBdr/>
      <w:spacing/>
      <w:ind/>
    </w:pPr>
    <w:rPr>
      <w:color w:val="0000ff" w:themeColor="hyperlink"/>
      <w:u w:val="single"/>
    </w:rPr>
  </w:style>
  <w:style w:type="paragraph" w:styleId="850">
    <w:name w:val="footnote text"/>
    <w:basedOn w:val="867"/>
    <w:link w:val="851"/>
    <w:uiPriority w:val="99"/>
    <w:semiHidden/>
    <w:unhideWhenUsed/>
    <w:pPr>
      <w:pBdr/>
      <w:spacing w:after="40" w:line="240" w:lineRule="auto"/>
      <w:ind/>
    </w:pPr>
    <w:rPr>
      <w:sz w:val="18"/>
    </w:rPr>
  </w:style>
  <w:style w:type="character" w:styleId="851">
    <w:name w:val="Footnote Text Char"/>
    <w:link w:val="850"/>
    <w:uiPriority w:val="99"/>
    <w:pPr>
      <w:pBdr/>
      <w:spacing/>
      <w:ind/>
    </w:pPr>
    <w:rPr>
      <w:sz w:val="18"/>
    </w:rPr>
  </w:style>
  <w:style w:type="character" w:styleId="852">
    <w:name w:val="footnote reference"/>
    <w:basedOn w:val="868"/>
    <w:uiPriority w:val="99"/>
    <w:unhideWhenUsed/>
    <w:pPr>
      <w:pBdr/>
      <w:spacing/>
      <w:ind/>
    </w:pPr>
    <w:rPr>
      <w:vertAlign w:val="superscript"/>
    </w:rPr>
  </w:style>
  <w:style w:type="paragraph" w:styleId="853">
    <w:name w:val="endnote text"/>
    <w:basedOn w:val="867"/>
    <w:link w:val="854"/>
    <w:uiPriority w:val="99"/>
    <w:semiHidden/>
    <w:unhideWhenUsed/>
    <w:pPr>
      <w:pBdr/>
      <w:spacing w:after="0" w:line="240" w:lineRule="auto"/>
      <w:ind/>
    </w:pPr>
    <w:rPr>
      <w:sz w:val="20"/>
    </w:rPr>
  </w:style>
  <w:style w:type="character" w:styleId="854">
    <w:name w:val="Endnote Text Char"/>
    <w:link w:val="853"/>
    <w:uiPriority w:val="99"/>
    <w:pPr>
      <w:pBdr/>
      <w:spacing/>
      <w:ind/>
    </w:pPr>
    <w:rPr>
      <w:sz w:val="20"/>
    </w:rPr>
  </w:style>
  <w:style w:type="character" w:styleId="855">
    <w:name w:val="endnote reference"/>
    <w:basedOn w:val="868"/>
    <w:uiPriority w:val="99"/>
    <w:semiHidden/>
    <w:unhideWhenUsed/>
    <w:pPr>
      <w:pBdr/>
      <w:spacing/>
      <w:ind/>
    </w:pPr>
    <w:rPr>
      <w:vertAlign w:val="superscript"/>
    </w:rPr>
  </w:style>
  <w:style w:type="paragraph" w:styleId="856">
    <w:name w:val="toc 1"/>
    <w:basedOn w:val="867"/>
    <w:next w:val="867"/>
    <w:uiPriority w:val="39"/>
    <w:unhideWhenUsed/>
    <w:pPr>
      <w:pBdr/>
      <w:spacing w:after="57"/>
      <w:ind w:right="0" w:firstLine="0" w:left="0"/>
    </w:pPr>
  </w:style>
  <w:style w:type="paragraph" w:styleId="857">
    <w:name w:val="toc 2"/>
    <w:basedOn w:val="867"/>
    <w:next w:val="867"/>
    <w:uiPriority w:val="39"/>
    <w:unhideWhenUsed/>
    <w:pPr>
      <w:pBdr/>
      <w:spacing w:after="57"/>
      <w:ind w:right="0" w:firstLine="0" w:left="283"/>
    </w:pPr>
  </w:style>
  <w:style w:type="paragraph" w:styleId="858">
    <w:name w:val="toc 3"/>
    <w:basedOn w:val="867"/>
    <w:next w:val="867"/>
    <w:uiPriority w:val="39"/>
    <w:unhideWhenUsed/>
    <w:pPr>
      <w:pBdr/>
      <w:spacing w:after="57"/>
      <w:ind w:right="0" w:firstLine="0" w:left="567"/>
    </w:pPr>
  </w:style>
  <w:style w:type="paragraph" w:styleId="859">
    <w:name w:val="toc 4"/>
    <w:basedOn w:val="867"/>
    <w:next w:val="867"/>
    <w:uiPriority w:val="39"/>
    <w:unhideWhenUsed/>
    <w:pPr>
      <w:pBdr/>
      <w:spacing w:after="57"/>
      <w:ind w:right="0" w:firstLine="0" w:left="850"/>
    </w:pPr>
  </w:style>
  <w:style w:type="paragraph" w:styleId="860">
    <w:name w:val="toc 5"/>
    <w:basedOn w:val="867"/>
    <w:next w:val="867"/>
    <w:uiPriority w:val="39"/>
    <w:unhideWhenUsed/>
    <w:pPr>
      <w:pBdr/>
      <w:spacing w:after="57"/>
      <w:ind w:right="0" w:firstLine="0" w:left="1134"/>
    </w:pPr>
  </w:style>
  <w:style w:type="paragraph" w:styleId="861">
    <w:name w:val="toc 6"/>
    <w:basedOn w:val="867"/>
    <w:next w:val="867"/>
    <w:uiPriority w:val="39"/>
    <w:unhideWhenUsed/>
    <w:pPr>
      <w:pBdr/>
      <w:spacing w:after="57"/>
      <w:ind w:right="0" w:firstLine="0" w:left="1417"/>
    </w:pPr>
  </w:style>
  <w:style w:type="paragraph" w:styleId="862">
    <w:name w:val="toc 7"/>
    <w:basedOn w:val="867"/>
    <w:next w:val="867"/>
    <w:uiPriority w:val="39"/>
    <w:unhideWhenUsed/>
    <w:pPr>
      <w:pBdr/>
      <w:spacing w:after="57"/>
      <w:ind w:right="0" w:firstLine="0" w:left="1701"/>
    </w:pPr>
  </w:style>
  <w:style w:type="paragraph" w:styleId="863">
    <w:name w:val="toc 8"/>
    <w:basedOn w:val="867"/>
    <w:next w:val="867"/>
    <w:uiPriority w:val="39"/>
    <w:unhideWhenUsed/>
    <w:pPr>
      <w:pBdr/>
      <w:spacing w:after="57"/>
      <w:ind w:right="0" w:firstLine="0" w:left="1984"/>
    </w:pPr>
  </w:style>
  <w:style w:type="paragraph" w:styleId="864">
    <w:name w:val="toc 9"/>
    <w:basedOn w:val="867"/>
    <w:next w:val="867"/>
    <w:uiPriority w:val="39"/>
    <w:unhideWhenUsed/>
    <w:pPr>
      <w:pBdr/>
      <w:spacing w:after="57"/>
      <w:ind w:right="0" w:firstLine="0" w:left="2268"/>
    </w:pPr>
  </w:style>
  <w:style w:type="paragraph" w:styleId="865">
    <w:name w:val="TOC Heading"/>
    <w:uiPriority w:val="39"/>
    <w:unhideWhenUsed/>
    <w:pPr>
      <w:pBdr/>
      <w:spacing/>
      <w:ind/>
    </w:pPr>
  </w:style>
  <w:style w:type="paragraph" w:styleId="866">
    <w:name w:val="table of figures"/>
    <w:basedOn w:val="867"/>
    <w:next w:val="867"/>
    <w:uiPriority w:val="99"/>
    <w:unhideWhenUsed/>
    <w:pPr>
      <w:pBdr/>
      <w:spacing w:after="0" w:afterAutospacing="0"/>
      <w:ind/>
    </w:pPr>
  </w:style>
  <w:style w:type="paragraph" w:styleId="867" w:default="1">
    <w:name w:val="Normal"/>
    <w:qFormat/>
    <w:pPr>
      <w:pBdr/>
      <w:spacing/>
      <w:ind/>
    </w:pPr>
  </w:style>
  <w:style w:type="character" w:styleId="868" w:default="1">
    <w:name w:val="Default Paragraph Font"/>
    <w:uiPriority w:val="1"/>
    <w:unhideWhenUsed/>
    <w:pPr>
      <w:pBdr/>
      <w:spacing/>
      <w:ind/>
    </w:pPr>
  </w:style>
  <w:style w:type="table" w:styleId="869"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70" w:default="1">
    <w:name w:val="No List"/>
    <w:uiPriority w:val="99"/>
    <w:semiHidden/>
    <w:unhideWhenUsed/>
    <w:pPr>
      <w:pBdr/>
      <w:spacing/>
      <w:ind/>
    </w:pPr>
  </w:style>
  <w:style w:type="paragraph" w:styleId="871">
    <w:name w:val="Header"/>
    <w:basedOn w:val="867"/>
    <w:link w:val="872"/>
    <w:uiPriority w:val="99"/>
    <w:semiHidden/>
    <w:unhideWhenUsed/>
    <w:pPr>
      <w:pBdr/>
      <w:tabs>
        <w:tab w:val="center" w:leader="none" w:pos="4819"/>
        <w:tab w:val="right" w:leader="none" w:pos="9639"/>
      </w:tabs>
      <w:spacing w:after="0" w:line="240" w:lineRule="auto"/>
      <w:ind/>
    </w:pPr>
  </w:style>
  <w:style w:type="character" w:styleId="872" w:customStyle="1">
    <w:name w:val="Верхний колонтитул Знак"/>
    <w:basedOn w:val="868"/>
    <w:link w:val="871"/>
    <w:uiPriority w:val="99"/>
    <w:semiHidden/>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ONLYOFFICE/8.1.3.4</Application>
  <Company>SPecialiST RePack</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СТАРОДУБ Людмила Олександрівна</cp:lastModifiedBy>
  <cp:revision>9</cp:revision>
  <dcterms:created xsi:type="dcterms:W3CDTF">2024-11-26T09:08:00Z</dcterms:created>
  <dcterms:modified xsi:type="dcterms:W3CDTF">2024-12-04T13:38:54Z</dcterms:modified>
</cp:coreProperties>
</file>