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10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Додаток 1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10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до Програми соціально-економічного розвитку Менської міської  територіальної громади на 2025 рік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1063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rtl w:val="0"/>
        </w:rPr>
        <w:t xml:space="preserve">Пріоритетні об’єкти, які доцільно фінансувати із залученням коштів державного, місцевих бюджетів, коштів інвесторів та благодійної допомоги у 2025 році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r>
    </w:p>
    <w:tbl>
      <w:tblPr>
        <w:tblStyle w:val="963"/>
        <w:tblW w:w="14475" w:type="dxa"/>
        <w:tblInd w:w="-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175"/>
        <w:gridCol w:w="1440"/>
        <w:gridCol w:w="1365"/>
        <w:gridCol w:w="1260"/>
        <w:gridCol w:w="1185"/>
        <w:gridCol w:w="1065"/>
        <w:gridCol w:w="1200"/>
        <w:gridCol w:w="1125"/>
        <w:tblGridChange w:id="0">
          <w:tblGrid>
            <w:gridCol w:w="660"/>
            <w:gridCol w:w="5175"/>
            <w:gridCol w:w="1440"/>
            <w:gridCol w:w="1365"/>
            <w:gridCol w:w="1260"/>
            <w:gridCol w:w="1185"/>
            <w:gridCol w:w="1065"/>
            <w:gridCol w:w="1200"/>
            <w:gridCol w:w="1125"/>
          </w:tblGrid>
        </w:tblGridChange>
      </w:tblGrid>
      <w:tr>
        <w:trPr>
          <w:cantSplit/>
          <w:trHeight w:val="220"/>
          <w:tblHeader/>
        </w:trPr>
        <w:tc>
          <w:tcPr>
            <w:tcBorders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right="-113" w:firstLine="0" w:left="-113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right="-113" w:firstLine="0" w:left="-113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з/п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right="-113" w:firstLine="0" w:left="-11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 xml:space="preserve">Назва проєкту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right="-113" w:firstLine="0" w:left="-113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Вартість проєкту,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right="-113" w:firstLine="0" w:left="-113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тис. грн.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 w:right="-113" w:firstLine="0" w:left="-113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 (в цінах 202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rtl w:val="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4"/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 xml:space="preserve">Джерела та розміри фінансування,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rtl w:val="0"/>
              </w:rPr>
              <w:t xml:space="preserve"> тис. грн.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cantSplit/>
          <w:trHeight w:val="180"/>
          <w:tblHeader/>
        </w:trPr>
        <w:tc>
          <w:tcPr>
            <w:tcBorders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Проєктної документації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Висновку експертизи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Разом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Державний бюджет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Бюджет громади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rtl w:val="0"/>
              </w:rPr>
              <w:t xml:space="preserve">Інші, не заборонені ЗУ кошти, в. ч. МТД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shd w:val="clear" w:color="auto" w:fill="auto"/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262626"/>
                <w:sz w:val="24"/>
                <w:szCs w:val="24"/>
                <w:rtl w:val="0"/>
              </w:rPr>
              <w:t xml:space="preserve">Стратегічна ціль 1. Інвестиційно приваблива громада, де працюють успішні малі та середні підприємства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shd w:val="clear" w:color="auto" w:fill="auto"/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Операційна ціль 1.1. Створені передумови для залучення нових інвесторів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 w:after="20" w:before="2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Забезпечення діяльності індустріального парку "Менський"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380 000,0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380 000,0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380 000,0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rPr>
          <w:cantSplit w:val="false"/>
          <w:trHeight w:val="900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Розроблення (оновлення) містобудівної документації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12300,0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260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Розвиток земельних відносин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2961,0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2961,0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2961,0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Виготовлення цифрової картографічної основи у державній геодезичній системі координат УСК-2000 для розроблення комплексного плану просторового розвитку території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Розроблення комплексного плану просторового розвитку території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24000,0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24000,0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24000,0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Розробка детальних планів територій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Витрати пов’язані з розробленням містобудівної документації (ОВД, СЕО та інше)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1.2. Розвинуте мале та середнє підприємництво, в тому числі з інноваційного виробництва та переробки сільгосппродукції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та забезпечення діяльності Центру розвитку бізнесу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570,5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570,5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420,5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торгового ринку по вул. Сіверський Шлях м. Мена Чернігівська область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1.3. Забезпечено підтримку туризму, зокрема, зеленого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Формування туристичного культурного магніту в Менській громаді. - зелений туристичний маршрут на плотах/байдарках  по Десні з гастрозупинками та культурно–мистецьким обслуговуванням туристів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Виготовлення і встановлення 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зівників, інформаційних щитів та знаків до основних туристично-екскурсійних об’єктів (з представленням інформації щодо доступності об’єктів для осіб з обмеженими фізичними можливостями) Кількість вказівників – 30 шт., інформаційних щитів та знаків – 15 шт.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Забезпечення надання  інформації, консультацій та навчання в ТГ за напрямками - зелений туризм, вело –туризм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Розробка та просування інформаційної продукції про туристичні можливості громади (з представленням інформації щодо доступності об’єктів для осіб з обмеженими фізичними можливостями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 велопрокату,  придбання шоломів та жилетів,  велосипедів.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shd w:val="clear" w:color="auto" w:fill="auto"/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Стратегічна ціль 2.</w:t>
            </w:r>
            <w:r>
              <w:rPr>
                <w:rFonts w:ascii="Arial" w:hAnsi="Arial" w:eastAsia="Arial" w:cs="Arial"/>
                <w:b/>
                <w:color w:val="262626"/>
                <w:sz w:val="20"/>
                <w:szCs w:val="20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262626"/>
                <w:sz w:val="24"/>
                <w:szCs w:val="24"/>
                <w:rtl w:val="0"/>
              </w:rPr>
              <w:t xml:space="preserve">Розвинута та дружня до довкілля інфраструктура забезпечує усім мешканцям комфорт, безпечний та доступний громадський простір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shd w:val="clear" w:color="auto" w:fill="auto"/>
            <w:tcBorders/>
            <w:textDirection w:val="lrTb"/>
            <w:noWrap w:val="false"/>
          </w:tcPr>
          <w:p>
            <w:pPr>
              <w:pBdr/>
              <w:spacing/>
              <w:ind w:hanging="1985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           Операційна ціль 2.1. Територія громади облаштована, доступна, зручна та безпечна для мешканців та мешканок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rPr>
          <w:cantSplit w:val="false"/>
          <w:trHeight w:val="365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Інклюзивний розвиток культурного простору, влаштування безбар’єрного доступу ззовні та всередині бібліотек, музеїв, клубних закладів, об’єктах туристичної інфраструктури та архітектурної спадщини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Забезпечення доступності культурних послуг Розвиток інклюзивних арт-студій,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організації доступного дозвілля: арт-лекторії, культурні вечірки, проведення навчальних сесій для організаторів культурних заходів про важливість формування позитивного сприйняття інклюзивності та важливість культури у формуванні інклюзивності суспільства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Ревіталізація підвальних приміщень закладів культури, які за безпековими вимогами можуть використовуватись як найпростіші укриття та виконувати функції мистецької платформи «АртУкриття».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пожежного автомобіля з цистерною не менше 5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оглядових IP-камер у кількості 100 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систем оповіщення цивільного населення у кількості 5 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протигазів для цивільного населення м.Мена, які потрапляють в периметр території загрози хімічної небезпеки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 w:firstLine="0" w:left="-14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tcBorders/>
            <w:textDirection w:val="lrTb"/>
            <w:noWrap w:val="false"/>
          </w:tcPr>
          <w:p>
            <w:pPr>
              <w:pBdr/>
              <w:spacing/>
              <w:ind w:firstLine="141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Операційна ціль 2.2. Гарантована екологічна безпека та якісна комунальна інфраструктура для всіх мешканців і мешканок громади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Встановлення блочно-модульної котельні БМК-1200 по вул. Гімназійна, 1 в м. Мена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888, 956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12.09.2024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888,956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888,956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Забезпечення екологічно безпечного збирання й перевезення відходів на території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8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Встановлення наземної сонячної електростанції на центральному водозаборі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>
              <w:bottom w:val="single" w:color="000000" w:sz="4" w:space="0"/>
              <w:right w:val="single" w:color="000000" w:sz="8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житлового будинку, будинок квартирного типу (гуртожиток) за адресою: вул. Перемоги, 2, смт. Макошине, Корюківського району,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39000,0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39000,0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39000,0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>
              <w:bottom w:val="single" w:color="000000" w:sz="8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мережі водовідведення по вул. Корольова від буд №2-6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водопровідної мережі по вул. Приозерна в м. 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водопровідної мережі по вул. Троїцька в м. 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>
              <w:top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водопровідної мережі по вул. Мічуріна в м. 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>
              <w:righ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водопровідної мережі по вул. Армійська, провул.Сидоренка в м. 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268"/>
        </w:trPr>
        <w:tc>
          <w:tcPr>
            <w:tcBorders>
              <w:right w:val="single" w:color="000000" w:sz="8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центру управління відходами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Заліснення малопродуктивних земельних угідь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0" w:before="2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Боротьба з карантинним бур’яном - амброзією полинолистою на території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0" w:before="20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Розвиток водного господарства та екологічного оздоровлення малих річок та водойм на території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0" w:before="2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Капітальний ремонт дорожнього покриття вулиці Дружби в смт Макошине, Менської міської територіальної громади, Корюківського району,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4226,447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4226,447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4226,447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0" w:before="2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Капітальний ремонт дорожнього покриття території прилеглої до вул. Сіверський шлях від буд. №51 до №57 в м. Мена Чернігівської області (біля автостанції)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3049,621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3049,621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3049,621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Капітальний ремонт дорожнього покриття вулиці Гетьманська від буд. 2 до вулиці Чернігівський шлях в м. Мена Чернігівської області (коригування)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1792,712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1792,712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1792,712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Капітальний ремонт тротуарів по вул. Чернігівський шлях в центральній частині м. Мена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2303,293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2303,293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2303,293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shd w:val="clear" w:color="auto" w:fill="auto"/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Стратегічна ціль 3. </w:t>
            </w:r>
            <w:r>
              <w:rPr>
                <w:rFonts w:ascii="Times New Roman" w:hAnsi="Times New Roman" w:eastAsia="Times New Roman" w:cs="Times New Roman"/>
                <w:b/>
                <w:color w:val="262626"/>
                <w:sz w:val="24"/>
                <w:szCs w:val="24"/>
                <w:rtl w:val="0"/>
              </w:rPr>
              <w:t xml:space="preserve"> Громада ефективного та прозорого врядування, де всі мешканці та мешканки отримують доступні, інклюзивні та якісні послуги. Активна громадськість бере участь у житті громади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shd w:val="clear" w:color="auto" w:fill="auto"/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Операційна ціль 3.1. Якісна та інклюзивна освіта доступна кожній та кожному у громаді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315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Перепрофілювання (зміна типу) у гімназії та зміна найменування Менського опорного ЗЗСО І-ІІІ ст. ім.Т.Г.Шевченка, Стольненського ЗЗСО І-ІІІ ступенів, Макошинського ЗЗСО І-ІІІ ступенів, Дягівського ЗЗСО І-ІІІ ступенів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Приєднання до Менського закладу дошкільної освіти (ясла-садок) «Сонечко» комбінованого типу Менської міськ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ої ради, Менського закладу дошкільної освіти (ясла-садок) «Дитяча академія» комбінованого типу Менської міської ради та Стольненського закладу дошкільної освіти (дитячий садок) «Сонечко» загального типу Менської міської ради дитячих садків Менської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Комунальної установи Менського центру позашкільної освіти в Менській міській територіальній громаді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Термомодернізація будівлі початкової школи Менського опорного закладу загальної середньої освіти І-ІІІ ступеня ім. Т.Г.Шевченка закладу освіти</w:t>
            </w:r>
            <w:r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(заміна та утеплення покрівлі, фасаду, встановлення енергозберігаючих світлопрозорих огороджуючих конструкцій (вікна, дверні блоки), системи рекуперації тепла.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Термомодернізація будівлі майстерні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Менського опорного закладу загальної середньої освіти І-ІІІ ступеня ім. Т.Г.Шевченка закладу освіти (заміна та утеплення покрівлі, фасаду, встановлення енергозберігаючих світлопрозорих огороджуючих конструкцій (вікна, двері) та ремонт навчальних майстерень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2 400,0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2 400,0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2 000,0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Нове будівництво модульного протирадіаційного укриття (ПРУ) на території Менського опорного ЗЗСО І-ІІІ ступенів ім. Т.Г.Шевченка по вул. Чернігівський шлях,11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58 500,0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58 500,0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57 915,0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585,0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Облаштування укриття  та створення освітнього хабу на базі протирадіаційного укриття Менського опорного ЗЗСО І-ІІІ ступенів ім. Т.Г.Шевченка по вул. Чернігівський шлях,7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3 500,0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3 500,0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3150,0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Капітальний ремонт покрівлі основного корпусу Менського опорного ЗЗСО І-ІІІ ступенів ім. Т.Г.Шевченка по вул. Чернігівський шлях,11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1 900,0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1 900,0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1 710,0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190,0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Встановлення автоматичної пожежної сигналізації, оповіщення про пожежу, управління евакуацією людей, устаткування передавання тривожних сповіщень в приміщеннях (в усіх будівлях закладу освіти) Менського ОЗЗСО І-ІІІ ступенів ім. Т.Г.Шевченка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1 450,0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Захист від прямих попадань блискавки і вторинних її проявів в усіх будівлях Менського ОЗЗСО І-ІІІ ступенів ім.Т.Г.Шевченка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Захист від прямих попадань блискавки і вторинних її проявів (в усіх будівлях) Менського закладу дошкільної освіти (ясла-садка) «Дитяча академія» комбінованого типу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Встановлення автоматичної пожежної сигналізації, оповіщення про пожежу, управління евакуацією людей, устаткування передавання тривожних сповіщень в приміщенні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  Стольненського закладу загальної середньої освіти І-ІІІ ступенів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Встановлення автоматичної пожежної сигналізації, оповіщення про пожежу, управління евакуацією людей, устаткування передавання тривожних сповіщень в приміщеннях Опорного закладу Менська гімназія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Сучасні дитячі ігрові майданчики для вихованців Менського закладу дошкільної освіти (ясла-садок) «Дитяча академія» комбінованого типу Менської міської ради закладу освіти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«Smart-клас – це реальність!» (придбання обладнання для облаштування сучасного smart-класу: комп’ютери, роботи, мікроскоп, інтерактивний монітор, обладнання для фотозйомки; сучасні меблі) для учнів Менського ОЗСО І-ІІІ ступенів ім. Т.Г.Шевченка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«Створення багатофункціона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льного спортивно–культурного простору «МолоДій!», який включає (проведення поточного ремонту існуючого приміщення міні спортивного залу та придбання необхідного обладнання для ефективного функціонування багатофункціонального спортивно–культурного простору)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1 250,0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1 250,0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1 125,0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шкільних автобусів для організації підвозу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3 700,0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3 700,0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3 330,0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370,0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Відновлення та модернізація їдальні (харчоблоку) Менського опорного закладу закладу освіти загальної середньої освіти І-ІІІ ступеня ім. Т.Г.Шевченка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4 800,0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4 800,0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4 320,0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480,0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сучасних меблів для обідньої зали закладів освіти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сучасного технологічного обладнання для кухні всіх закладів освіти Менської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Кімната ментального здоров’я педагогів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rtl w:val="0"/>
              </w:rPr>
              <w:t xml:space="preserve">для Макошинського закладу загальної середньої освіти І-ІІІ ступенів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139,0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125,1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Підтримка та розвиток обдарованої учнівської молоді та творчих педагогів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163,622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163,622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163,622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"Крок за кроком до майстерності: Програма безперервного навчання"/"Безперервний професійний розвиток: Інструменти для успіху"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Функціонування ЦПРПП у напрямку удосконалення творчого педагогічного простору та інновацій – «Педагогічна вітальня»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256,0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дієвого Міжшкільного учнівського парламенту для дітей віком 12-17 років з метою забезпечення права бути почутим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Проведення навчально-польових зборів для учнів 11 класів закладів загальної середньої освіти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Організація та проведення в Менській громаді дводенного таборування для учнів закладів загальної та змагань І етапу Всеукраїнської дитячо-юнацької військово-спортивної гри «Сокіл» («Джура»)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141,102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141,102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141,102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Розвиток позашкільної освіти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255,877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255,877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255,877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Виїзна «Кімната психотерапії іграшкою»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Проведення профорієнтаційних заходів серед учнівської молоді закладів загальної середньої освіти Менської громади та малим бізнесом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Належне оформлення та висвітлення інформації на офіційному веб-сайті Відділу освіти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25,2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спортивного комплексу із стадіоном по вул. Банкова,4 м.Мена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2021 рік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2021 рік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29 000,0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20" w:before="20"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Встановлення 4 нових спортивних майданчиків, а саме два у м.Мена та с.Стольне і с-щі Макошине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tcBorders/>
            <w:textDirection w:val="lrTb"/>
            <w:noWrap w:val="false"/>
          </w:tcPr>
          <w:p>
            <w:pPr>
              <w:pBdr/>
              <w:spacing/>
              <w:ind w:hanging="141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Операційна ціль 3.2. Усі мешканці та мешканки громади мають всебічний доступ до публічних послуг у відповідності до своїх потреб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фасаду 3-х поверхового лікувального корпусу КНП «Менська міська лікарня» Менської міської ради з ремонтом теплових мереж із застосуванням заходів теплореновації по вул.Шевченка, 61 м. Мена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10212,3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2021 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ТОВ «Перша будівельна експертиза» № 210611-8/В від 14.06.2021 року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10212,3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10212,3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медичного обладнання для КНП «Менська міська лікарня” Менська міська рада для надання високоякісної та своєчасної допомоги населенню громади.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4317,5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4317,5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Поточний ремонт системи опалення 2-х поверхового лікувального корпусу КНП «Менська міська лікарня» по вул.Шевченка, 61 м.Мена,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755,0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755,0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санвузла та входу в будівлю Паліативного відділення КНП «Менська міська лікарня» з урахуванням вимог для осіб з інвалідністю та інших маломобільних груп населення, за адресою: вул.Шевченка, 61 м.Мена,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багатофункціональних ліжок для КНП «Менська міська лікарня» по вул.Шевченка, 61 м.Мена,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Ремонт покрівлі КНП «Менський центр ПМСД»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комп'ютерної техніки для КНП «Менський центр ПМСД»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79.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санвузла та входу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 будівлю Макошинської лікарської амбулаторії загальної практики сімейної медицини з урахуванням вимог для осіб з інвалідністю та інших маломобільних груп населення, за адресою: Чернігівська область, Корюківський район, смт. Макошине, вул. Зарічна, буд.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139,323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ТОВ  "Перша будівельна експертиза" №201201-2/В  від 09.12.2020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139,323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санвузла та вх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оду в будівлю Бірківської сільської лікарської амбулаторії загальної практики сімейної медицини з урахуванням вимог для осіб з інвалідністю та інших маломобільних груп населення, за адресою: Чернігівська область, Менський район, с.Бірківка,вул.Миру, буд.44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134,819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ТОВ  "Перша будівельна експертиза" №201202-1/В  від 09.12.2020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134,819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134,819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134,819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санвузла та входу в будівлю Киселівської сільської лікарської амбулаторії загальної практики сімейної медицини з урахуванням вимог для осіб з інвалідністю та інших маломобільних груп населення, за адресою: с.Киселівка,вул.Дружби, буд.21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305,101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 xml:space="preserve">ТОВ  "Перша будівельна експертиза" №201202-2/В  від 09.12.2020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305,101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305,101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Ремонт будівлі ФАП с.Волосківці за адресою с.Волосківці вул.Пархоменка 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2-х повнопривідних автомобілів для потреб КНП «Менський центр ПМСД»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Облаштування тимчасового місця проживання для громадян, які у зв'язку з бойовими діями залишили постійне  місце проживання (с. Стольне та с-ще Макошине)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та облаштування простору “Ветеран Хаб”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фасаду відділення стаціонарного догляду для постійного або тимчасового прожи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вання Комунальної установи «Менський територіальний центр надання соціальних послуг» Менської міської ради з ремонтом теплових мереж із застосуванням заходів теплореновації за адресою: вул. Коцюбинського, 12 с. Стольне Корюківського р-ну Чернігівської обл.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2850,0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2850,0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2850,0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Капітальний ремонт кухні у відд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іленні стаціонарного догляду для постійного або тимчасового проживання Комунальної установи «Менський територіальний центр надання соціальних послуг» Менської міської ради  за адресою: вул. Коцюбинського, 12 с. Стольне Корюківського р-ну Чернігівської обл.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сучасного технологічного обладнання для кухні у відд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іленні стаціонарного догляду для постійного або тимчасового проживання Комунальної установи «Менський територіальний центр надання соціальних послуг» Менської міської ради  за адресою: вул. Коцюбинського, 12 с. Стольне Корюківського р-ну Чернігівської обл.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89.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«Створення арт-терапевтичної кімнати» у відд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іленні стаціонарного догляду для постійного або тимчасового проживання Комунальної установи «Менський територіальний центр надання соціальних послуг» Менської міської ради  за адресою: вул. Коцюбинського, 12 с. Стольне Корюківського р-ну Чернігівської обл.</w:t>
            </w:r>
            <w:r>
              <w:rPr>
                <w:rFonts w:ascii="Times New Roman" w:hAnsi="Times New Roman" w:eastAsia="Times New Roman" w:cs="Times New Roman"/>
                <w:rtl w:val="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яка включає (проведення поточного ремонту існуючого приміщення та придбання необхідного обладнання для ефективного функціонування кімнати)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санвузла та входу в будівлю Комунальної установи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«Менський територіальний центр надання соціальних послуг» Менської міської ради з урахуванням вимог для осіб з інвалідністю та інших маломобільних груп населення, за адресою: Чернігівська область, Корюківський район, м. Мена, вул. Сергія Титаренка, буд.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простору соціальної адаптації на прилеглій території у Комунальній  установ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і «Менський територіальний центр надання соціальних послуг» Менської міської ради з урахуванням вимог для осіб з інвалідністю та інших маломобільних груп населення за адресою: Чернігівська область, Корюківський район, м. Мена, вул. Сергія Титаренка, буд.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Покращення соціальної послуги “швейна майстерня” в Комунальній установі «Менський територіальний центр надання соціальних послуг» Менської міської ради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входу в буд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івлю Комунальної установи “Менський міський центр соціальних служб” Менської міської ради з урахуванням вимог для осіб з інвалідністю та інших маломобільних груп населення, за адресою: Чернігівська область, Корюківський район, м. Мена, вул. Семашка, буд.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Будівництво санвузла в буд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івлі Комунальної установи “Менський міський центр соціальних служб” Менської міської ради з урахуванням вимог для осіб з інвалідністю та інших маломобільних груп населення, за адресою: Чернігівська область, Корюківський район, м. Мена, вул. Семашка, буд.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входу в “Безпечний простір” у будів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лі Комунальної установи “Менський міський центр соціальних служб” Менської міської ради з урахуванням вимог для осіб з інвалідністю та інших маломобільних груп населення, за адресою: Чернігівська область, Корюківський район, м. Мена, вул. Троїцька, буд.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Будівництво санвузла та душової  у “Безпечному просторі” в будів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лі Комунальної установи “Менський міський центр соціальних служб” Менської міської ради з урахуванням вимог для осіб з інвалідністю та інших маломобільних груп населення, за адресою: Чернігівська область, Корюківський район, м. Мена, вул. Троїцька, буд.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“Кімнати кризового реагування”  у “Безпечному просторі” в будів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лі Комунальної установи “Менський міський центр соціальних служб” Менської міської ради з урахуванням вимог для осіб з інвалідністю та інших маломобільних груп населення, за адресою: Чернігівська область, Корюківський район, м. Мена, вул. Троїцька, буд.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автомобілю для осіб з функціональними обмеженнями для  забезпечення функціонування служби “Соціальне таксі” Комунальної установи “Менський міський центр соціальних служб”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1200,0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99.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Створення Центру культурних послуг на базі КЗ “Менський будинок культури” Менської міської ради по вул. Героїв АТО, 3 в м. Мена Корюківського району Чернігівської обл. багато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функціонального типу з подальшою енергоефективною модернізацією та санацією будівлі будинку культури, збільшенням комфорту для користувачів культурних послуг, трансформацією прилеглого до будівлі ландшафту з урахуванням потреб маломобільних груп населення.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26300,0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26300,0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23670,0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2630,0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Виготовлення ПКД на створення центру культурних послуг на базі КЗ «Менський будинок культури» по вул. Героїв АТО, 3 в м. Мена Корюківського району Чернігівської обл.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1350,0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Ремонт ганку КЗ “Менський будинок культури” по вул. Героїв АТО, 3 в м. Мена Корюківського району Чернігівської обл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Капітальний ремонт  будівлі Комунального закладу «Менський краєзнавчий музей ім. В.Ф. Покотила» Менської міської ради, вул. Шевченка, 12, м. Мена, Корюківського району, Чернігівської області,  встановлення індивідуального теплового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пункту, ремонт та утеплення фасаду, теплоізоляція даху, заміна вікон та дверей на енергозберігаючі, встановлення внутрішньобудинкових інженерних мереж (підключення до централізованого водопостачання, заміна освітлювальних приладів на енергоефективні 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Ремонт ганку та фасаду КЗ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«Центру культури та дозвілля молоді» Менської міської ради,  з виготовленням ПКД, трансформацією прилеглого до будівлі ландшафту з урахуванням потреб маломобільних груп населення по вул. Героїв АТО, 10,  м. Мена, Корюківського району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Реконструкція кінозалу в КЗ «Центру культури та дозвілля молоді» Менської міської ради з метою забезпечення міста сучасним залом-трансформером з виготовленням ПКД  по вул. Героїв АТО, 10,  м. Мена, Корюківського району Чернігівської області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Ремонт санвузлів в КЗ ЦКДМ з елементами інклюзії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Заміна вікон та поточний ремонт підвального приміщення в КЗ ЦКДМ . встановлення системи вентиляції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630,0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Ревіталізація підвальних приміщень закладів культури, які за безпековими вимогами можуть використовуватись як найпростіші укриття та виконувати функції мистецької платформи «АртУкриття».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720,0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80,0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Забезпечення автоматизованими системами пожежно - охоронної сигналізації та внутрішніми засобами пожежогасіння в закладах культури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109.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автобусу для комфортного та оперативного переміщення колективів та працівників культури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2700,0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110.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Ремонт покрівлі гаража «КЗ Менський будинок культури» Менської міської ради по вул. Героїв АТО, 3 в м. Мена Корюківського району Чернігівської обл.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300,0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Завершення роботи по забезпеченню доступу до Інтернет мережі  філій КЗ МБК та КЗ МПБ. Перетворення бібліотек на відкриті майданчики культурних комунікацій. 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Часткова заміна дверей, вікон спортивної зали Макошинської філії КЗ «Менський Будинок культури» Менської міської ради по вул. Центральна 5-в, с-ще Макошине, Корюківського району, Чернігівської обл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Придбання автоматизованої бібліотечної інформаційної системи «УФД/Бібліотека»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162,0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18,0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Поточний ремонт фойє, глядацької зали, класу для репетицій дитячого духового оркестру Киселівської філії КЗ «Менський будинок культури»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450,0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 xml:space="preserve">115.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Енергоефективна модернізація будівлі Стольненської філії комунального закладу “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Менський будинок культури” Менської міської ради, санація та тепломодернізація, заміна системи опалення, вентиляції, енергоефективність, ландшафт внутрішнього простору будівлі з елементами інклюзивності, встановлення автономного  теплового пункту на альтер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нативних видах палива, ремонт та утеплення фасаду, заміна вікон та дверей на енергозберігаючі, заміна освітлювальних приладів на енергоефективні, трансформація всіх транзитних, видовищних та інших типів приміщень з доступністю осіб з обмеженою мобільністю.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900,0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240"/>
        </w:trPr>
        <w:tc>
          <w:tcPr>
            <w:gridSpan w:val="9"/>
            <w:tcBorders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Операційна ціль 3.3. </w:t>
            </w:r>
            <w:r>
              <w:rPr>
                <w:rFonts w:ascii="Times New Roman" w:hAnsi="Times New Roman" w:eastAsia="Times New Roman" w:cs="Times New Roman"/>
                <w:b/>
                <w:i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rtl w:val="0"/>
              </w:rPr>
              <w:t xml:space="preserve">Управлінська система спрощена та ефективна, працює на принципах прозорості, підзвітності та громадської участі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</w:tr>
      <w:tr>
        <w:trPr>
          <w:cantSplit w:val="false"/>
          <w:trHeight w:val="417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20" w:type="dxa"/>
              <w:top w:w="0" w:type="dxa"/>
              <w:right w:w="12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5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20" w:type="dxa"/>
              <w:top w:w="0" w:type="dxa"/>
              <w:right w:w="12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99"/>
        </w:trPr>
        <w:tc>
          <w:tcPr>
            <w:tcBorders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20" w:type="dxa"/>
              <w:top w:w="0" w:type="dxa"/>
              <w:right w:w="12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5" w:space="0"/>
              <w:right w:val="single" w:color="000000" w:sz="5" w:space="0"/>
            </w:tcBorders>
            <w:tcMar>
              <w:left w:w="120" w:type="dxa"/>
              <w:top w:w="0" w:type="dxa"/>
              <w:right w:w="120" w:type="dxa"/>
              <w:bottom w:w="0" w:type="dxa"/>
            </w:tcMar>
            <w:textDirection w:val="lrTb"/>
            <w:noWrap w:val="false"/>
          </w:tcPr>
          <w:p>
            <w:pPr>
              <w:pBdr/>
              <w:spacing w:after="240" w:before="240"/>
              <w:ind w:firstLine="0" w:left="-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0" w:space="23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u w:val="single"/>
        </w:rPr>
      </w:r>
    </w:p>
    <w:p>
      <w:pPr>
        <w:pBdr>
          <w:top w:val="none" w:color="000000" w:sz="0" w:space="23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Начальник відділу міжнародного співробітництва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0" w:space="23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071"/>
        </w:tabs>
        <w:spacing/>
        <w:ind/>
        <w:jc w:val="both"/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 економічного розвитку Менської міської ради</w:t>
        <w:tab/>
        <w:tab/>
        <w:tab/>
        <w:t xml:space="preserve">Сергій СКОРОХОД</w:t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color w:val="0000ff"/>
          <w:sz w:val="28"/>
          <w:szCs w:val="28"/>
          <w:u w:val="singl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1906" w:orient="landscape" w:w="16838"/>
      <w:pgMar w:top="1134" w:right="567" w:bottom="1134" w:left="1701" w:header="709" w:footer="709" w:gutter="0"/>
      <w:pgNumType w:start="17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7143"/>
        <w:tab w:val="right" w:leader="none" w:pos="14287"/>
      </w:tabs>
      <w:spacing/>
      <w:ind/>
      <w:jc w:val="right"/>
      <w:rPr>
        <w:rFonts w:ascii="Times New Roman" w:hAnsi="Times New Roman" w:eastAsia="Times New Roman" w:cs="Times New Roman"/>
        <w:i/>
        <w:color w:val="000000"/>
        <w:sz w:val="24"/>
        <w:szCs w:val="24"/>
      </w:rPr>
    </w:pPr>
    <w:r>
      <w:rPr>
        <w:color w:val="00000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hAnsi="Times New Roman" w:eastAsia="Times New Roman" w:cs="Times New Roman"/>
        <w:i/>
        <w:color w:val="000000"/>
        <w:sz w:val="24"/>
        <w:szCs w:val="24"/>
        <w:rtl w:val="0"/>
      </w:rPr>
      <w:t xml:space="preserve">                                                                            продовження додатка</w:t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</w:r>
    <w:r>
      <w:rPr>
        <w:rFonts w:ascii="Times New Roman" w:hAnsi="Times New Roman" w:eastAsia="Times New Roman" w:cs="Times New Roman"/>
        <w:i/>
        <w:color w:val="000000"/>
        <w:sz w:val="24"/>
        <w:szCs w:val="24"/>
      </w:rPr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7143"/>
        <w:tab w:val="right" w:leader="none" w:pos="14287"/>
      </w:tabs>
      <w:spacing/>
      <w:ind/>
      <w:rPr>
        <w:color w:val="000000"/>
      </w:rPr>
    </w:pPr>
    <w:r>
      <w:rPr>
        <w:rtl w:val="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2"/>
      <w:pBdr/>
      <w:spacing/>
      <w:ind/>
      <w:rPr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7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8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9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0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21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2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3">
    <w:name w:val="Endnote Text Char"/>
    <w:basedOn w:val="743"/>
    <w:link w:val="776"/>
    <w:uiPriority w:val="99"/>
    <w:semiHidden/>
    <w:pPr>
      <w:pBdr/>
      <w:spacing/>
      <w:ind/>
    </w:pPr>
    <w:rPr>
      <w:sz w:val="20"/>
      <w:szCs w:val="20"/>
    </w:rPr>
  </w:style>
  <w:style w:type="character" w:styleId="724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Normal"/>
    <w:pPr>
      <w:pBdr/>
      <w:spacing/>
      <w:ind/>
    </w:pPr>
  </w:style>
  <w:style w:type="paragraph" w:styleId="726">
    <w:name w:val="Heading 1"/>
    <w:basedOn w:val="725"/>
    <w:next w:val="725"/>
    <w:pPr>
      <w:keepNext w:val="true"/>
      <w:keepLines w:val="true"/>
      <w:pBdr/>
      <w:spacing w:after="120" w:before="480"/>
      <w:ind/>
    </w:pPr>
    <w:rPr>
      <w:b/>
      <w:sz w:val="48"/>
      <w:szCs w:val="48"/>
    </w:rPr>
  </w:style>
  <w:style w:type="paragraph" w:styleId="727">
    <w:name w:val="Heading 2"/>
    <w:basedOn w:val="725"/>
    <w:next w:val="725"/>
    <w:pPr>
      <w:keepNext w:val="true"/>
      <w:keepLines w:val="true"/>
      <w:pBdr/>
      <w:spacing w:after="80" w:before="360"/>
      <w:ind/>
    </w:pPr>
    <w:rPr>
      <w:b/>
      <w:sz w:val="36"/>
      <w:szCs w:val="36"/>
    </w:rPr>
  </w:style>
  <w:style w:type="paragraph" w:styleId="728">
    <w:name w:val="Heading 3"/>
    <w:basedOn w:val="725"/>
    <w:next w:val="725"/>
    <w:pPr>
      <w:keepNext w:val="true"/>
      <w:keepLines w:val="true"/>
      <w:pBdr/>
      <w:spacing w:after="80" w:before="280"/>
      <w:ind/>
    </w:pPr>
    <w:rPr>
      <w:b/>
      <w:sz w:val="28"/>
      <w:szCs w:val="28"/>
    </w:rPr>
  </w:style>
  <w:style w:type="paragraph" w:styleId="729">
    <w:name w:val="Heading 4"/>
    <w:basedOn w:val="725"/>
    <w:next w:val="725"/>
    <w:pPr>
      <w:keepNext w:val="true"/>
      <w:keepLines w:val="true"/>
      <w:pBdr/>
      <w:spacing w:after="40" w:before="240"/>
      <w:ind/>
    </w:pPr>
    <w:rPr>
      <w:b/>
      <w:sz w:val="24"/>
      <w:szCs w:val="24"/>
    </w:rPr>
  </w:style>
  <w:style w:type="paragraph" w:styleId="730">
    <w:name w:val="Heading 5"/>
    <w:basedOn w:val="725"/>
    <w:next w:val="725"/>
    <w:pPr>
      <w:keepNext w:val="true"/>
      <w:keepLines w:val="true"/>
      <w:pBdr/>
      <w:spacing w:after="40" w:before="220"/>
      <w:ind/>
    </w:pPr>
    <w:rPr>
      <w:b/>
    </w:rPr>
  </w:style>
  <w:style w:type="paragraph" w:styleId="731">
    <w:name w:val="Heading 6"/>
    <w:basedOn w:val="725"/>
    <w:next w:val="725"/>
    <w:pPr>
      <w:keepNext w:val="true"/>
      <w:keepLines w:val="true"/>
      <w:pBdr/>
      <w:spacing w:after="40" w:before="200"/>
      <w:ind/>
    </w:pPr>
    <w:rPr>
      <w:b/>
      <w:sz w:val="20"/>
      <w:szCs w:val="20"/>
    </w:rPr>
  </w:style>
  <w:style w:type="paragraph" w:styleId="732">
    <w:name w:val="Title"/>
    <w:basedOn w:val="725"/>
    <w:next w:val="725"/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200" w:before="300" w:line="240" w:lineRule="auto"/>
      <w:ind w:right="0" w:firstLine="0" w:left="0"/>
      <w:jc w:val="left"/>
    </w:pPr>
    <w:rPr>
      <w:rFonts w:ascii="Calibri" w:hAnsi="Calibri" w:eastAsia="Calibri" w:cs="Calibri"/>
      <w:b w:val="0"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733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</w:style>
  <w:style w:type="paragraph" w:styleId="734">
    <w:name w:val="Heading 1"/>
    <w:basedOn w:val="733"/>
    <w:next w:val="733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735">
    <w:name w:val="Heading 2"/>
    <w:basedOn w:val="733"/>
    <w:next w:val="733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36">
    <w:name w:val="Heading 3"/>
    <w:basedOn w:val="733"/>
    <w:next w:val="733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37">
    <w:name w:val="Heading 4"/>
    <w:basedOn w:val="733"/>
    <w:next w:val="733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738">
    <w:name w:val="Heading 5"/>
    <w:basedOn w:val="733"/>
    <w:next w:val="733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739">
    <w:name w:val="Heading 6"/>
    <w:basedOn w:val="733"/>
    <w:next w:val="733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740">
    <w:name w:val="Heading 7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1">
    <w:name w:val="Heading 8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2">
    <w:name w:val="Heading 9"/>
    <w:basedOn w:val="733"/>
    <w:next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Title"/>
    <w:link w:val="801"/>
    <w:uiPriority w:val="10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00"/>
      <w:ind/>
      <w:contextualSpacing w:val="true"/>
    </w:pPr>
    <w:rPr>
      <w:sz w:val="48"/>
      <w:szCs w:val="48"/>
    </w:rPr>
  </w:style>
  <w:style w:type="character" w:styleId="748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49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0" w:customStyle="1">
    <w:name w:val="Quote Char"/>
    <w:uiPriority w:val="29"/>
    <w:pPr>
      <w:pBdr/>
      <w:spacing/>
      <w:ind/>
    </w:pPr>
    <w:rPr>
      <w:i/>
    </w:rPr>
  </w:style>
  <w:style w:type="character" w:styleId="751" w:customStyle="1">
    <w:name w:val="Intense Quote Char"/>
    <w:uiPriority w:val="30"/>
    <w:pPr>
      <w:pBdr/>
      <w:spacing/>
      <w:ind/>
    </w:pPr>
    <w:rPr>
      <w:i/>
    </w:rPr>
  </w:style>
  <w:style w:type="paragraph" w:styleId="752">
    <w:name w:val="Header"/>
    <w:basedOn w:val="7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3">
    <w:name w:val="Footer"/>
    <w:basedOn w:val="733"/>
    <w:link w:val="75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4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5" w:customStyle="1">
    <w:name w:val="Нижній колонтитул Знак"/>
    <w:link w:val="753"/>
    <w:uiPriority w:val="99"/>
    <w:pPr>
      <w:pBdr/>
      <w:spacing/>
      <w:ind/>
    </w:pPr>
  </w:style>
  <w:style w:type="table" w:styleId="756">
    <w:name w:val="Plain Table 1"/>
    <w:basedOn w:val="744"/>
    <w:uiPriority w:val="59"/>
    <w:pPr>
      <w:pBdr/>
      <w:spacing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4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auto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 w:customStyle="1">
    <w:name w:val="Footnote Text Char"/>
    <w:uiPriority w:val="99"/>
    <w:pPr>
      <w:pBdr/>
      <w:spacing/>
      <w:ind/>
    </w:pPr>
    <w:rPr>
      <w:sz w:val="18"/>
    </w:rPr>
  </w:style>
  <w:style w:type="paragraph" w:styleId="776">
    <w:name w:val="endnote text"/>
    <w:basedOn w:val="733"/>
    <w:link w:val="777"/>
    <w:uiPriority w:val="99"/>
    <w:semiHidden/>
    <w:unhideWhenUsed/>
    <w:pPr>
      <w:pBdr/>
      <w:spacing/>
      <w:ind/>
    </w:pPr>
    <w:rPr>
      <w:sz w:val="20"/>
    </w:rPr>
  </w:style>
  <w:style w:type="character" w:styleId="777" w:customStyle="1">
    <w:name w:val="Текст кінцевої виноски Знак"/>
    <w:link w:val="776"/>
    <w:uiPriority w:val="99"/>
    <w:pPr>
      <w:pBdr/>
      <w:spacing/>
      <w:ind/>
    </w:pPr>
    <w:rPr>
      <w:sz w:val="20"/>
    </w:rPr>
  </w:style>
  <w:style w:type="character" w:styleId="778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79">
    <w:name w:val="table of figures"/>
    <w:basedOn w:val="733"/>
    <w:next w:val="733"/>
    <w:uiPriority w:val="99"/>
    <w:unhideWhenUsed/>
    <w:pPr>
      <w:pBdr/>
      <w:spacing/>
      <w:ind/>
    </w:pPr>
  </w:style>
  <w:style w:type="table" w:styleId="780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1" w:customStyle="1">
    <w:name w:val="Заголовок 11"/>
    <w:link w:val="782"/>
    <w:uiPriority w:val="9"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character" w:styleId="782" w:customStyle="1">
    <w:name w:val="Heading 1 Char"/>
    <w:link w:val="781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783" w:customStyle="1">
    <w:name w:val="Заголовок 21"/>
    <w:link w:val="784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60"/>
      <w:ind/>
      <w:outlineLvl w:val="1"/>
    </w:pPr>
    <w:rPr>
      <w:rFonts w:ascii="Arial" w:hAnsi="Arial" w:eastAsia="Arial"/>
      <w:sz w:val="34"/>
    </w:rPr>
  </w:style>
  <w:style w:type="character" w:styleId="784" w:customStyle="1">
    <w:name w:val="Heading 2 Char"/>
    <w:link w:val="783"/>
    <w:uiPriority w:val="9"/>
    <w:pPr>
      <w:pBdr/>
      <w:spacing/>
      <w:ind/>
    </w:pPr>
    <w:rPr>
      <w:rFonts w:ascii="Arial" w:hAnsi="Arial" w:eastAsia="Arial"/>
      <w:sz w:val="34"/>
      <w:szCs w:val="22"/>
      <w:lang w:bidi="ar-SA"/>
    </w:rPr>
  </w:style>
  <w:style w:type="paragraph" w:styleId="785" w:customStyle="1">
    <w:name w:val="Заголовок 31"/>
    <w:link w:val="786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character" w:styleId="786" w:customStyle="1">
    <w:name w:val="Heading 3 Char"/>
    <w:link w:val="785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787" w:customStyle="1">
    <w:name w:val="Заголовок 41"/>
    <w:link w:val="788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character" w:styleId="788" w:customStyle="1">
    <w:name w:val="Heading 4 Char"/>
    <w:link w:val="787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789" w:customStyle="1">
    <w:name w:val="Заголовок 51"/>
    <w:link w:val="790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character" w:styleId="790" w:customStyle="1">
    <w:name w:val="Heading 5 Char"/>
    <w:link w:val="789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791" w:customStyle="1">
    <w:name w:val="Заголовок 61"/>
    <w:link w:val="792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5"/>
    </w:pPr>
    <w:rPr>
      <w:rFonts w:ascii="Arial" w:hAnsi="Arial" w:eastAsia="Arial"/>
      <w:b/>
      <w:bCs/>
    </w:rPr>
  </w:style>
  <w:style w:type="character" w:styleId="792" w:customStyle="1">
    <w:name w:val="Heading 6 Char"/>
    <w:link w:val="791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793" w:customStyle="1">
    <w:name w:val="Заголовок 71"/>
    <w:link w:val="794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6"/>
    </w:pPr>
    <w:rPr>
      <w:rFonts w:ascii="Arial" w:hAnsi="Arial" w:eastAsia="Arial"/>
      <w:b/>
      <w:bCs/>
      <w:i/>
      <w:iCs/>
    </w:rPr>
  </w:style>
  <w:style w:type="character" w:styleId="794" w:customStyle="1">
    <w:name w:val="Heading 7 Char"/>
    <w:link w:val="793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795" w:customStyle="1">
    <w:name w:val="Заголовок 81"/>
    <w:link w:val="796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7"/>
    </w:pPr>
    <w:rPr>
      <w:rFonts w:ascii="Arial" w:hAnsi="Arial" w:eastAsia="Arial"/>
      <w:i/>
      <w:iCs/>
    </w:rPr>
  </w:style>
  <w:style w:type="character" w:styleId="796" w:customStyle="1">
    <w:name w:val="Heading 8 Char"/>
    <w:link w:val="795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797" w:customStyle="1">
    <w:name w:val="Заголовок 91"/>
    <w:link w:val="798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98" w:customStyle="1">
    <w:name w:val="Heading 9 Char"/>
    <w:link w:val="797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799">
    <w:name w:val="List Paragraph"/>
    <w:basedOn w:val="952"/>
    <w:pPr>
      <w:pBdr/>
      <w:spacing/>
      <w:ind w:left="720"/>
      <w:contextualSpacing w:val="true"/>
    </w:pPr>
  </w:style>
  <w:style w:type="paragraph" w:styleId="800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/>
    </w:rPr>
  </w:style>
  <w:style w:type="character" w:styleId="801" w:customStyle="1">
    <w:name w:val="Назва Знак"/>
    <w:link w:val="747"/>
    <w:uiPriority w:val="10"/>
    <w:pPr>
      <w:pBdr/>
      <w:spacing/>
      <w:ind/>
    </w:pPr>
    <w:rPr>
      <w:sz w:val="48"/>
      <w:szCs w:val="48"/>
      <w:lang w:bidi="ar-SA"/>
    </w:rPr>
  </w:style>
  <w:style w:type="paragraph" w:styleId="802">
    <w:name w:val="Subtitle"/>
    <w:basedOn w:val="733"/>
    <w:next w:val="733"/>
    <w:link w:val="803"/>
    <w:uiPriority w:val="11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200" w:before="200"/>
      <w:ind/>
    </w:pPr>
    <w:rPr>
      <w:color w:val="000000"/>
      <w:sz w:val="24"/>
      <w:szCs w:val="24"/>
    </w:rPr>
  </w:style>
  <w:style w:type="character" w:styleId="803" w:customStyle="1">
    <w:name w:val="Підзаголовок Знак"/>
    <w:link w:val="802"/>
    <w:uiPriority w:val="11"/>
    <w:pPr>
      <w:pBdr/>
      <w:spacing/>
      <w:ind/>
    </w:pPr>
    <w:rPr>
      <w:sz w:val="24"/>
      <w:szCs w:val="24"/>
      <w:lang w:bidi="ar-SA"/>
    </w:rPr>
  </w:style>
  <w:style w:type="paragraph" w:styleId="804">
    <w:name w:val="Quote"/>
    <w:link w:val="805"/>
    <w:uiPriority w:val="2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720" w:left="720"/>
    </w:pPr>
    <w:rPr>
      <w:i/>
      <w:lang w:eastAsia="en-US" w:bidi="en-US"/>
    </w:rPr>
  </w:style>
  <w:style w:type="character" w:styleId="805" w:customStyle="1">
    <w:name w:val="Цитата Знак"/>
    <w:link w:val="804"/>
    <w:uiPriority w:val="29"/>
    <w:pPr>
      <w:pBdr/>
      <w:spacing/>
      <w:ind/>
    </w:pPr>
    <w:rPr>
      <w:i/>
      <w:sz w:val="22"/>
      <w:szCs w:val="22"/>
      <w:lang w:val="uk-UA" w:eastAsia="en-US" w:bidi="en-US"/>
    </w:rPr>
  </w:style>
  <w:style w:type="paragraph" w:styleId="806">
    <w:name w:val="Intense Quote"/>
    <w:link w:val="8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  <w:shd w:val="clear" w:color="auto" w:fill="f2f2f2"/>
      <w:spacing/>
      <w:ind w:right="720" w:left="720"/>
    </w:pPr>
    <w:rPr>
      <w:i/>
      <w:lang w:eastAsia="en-US" w:bidi="en-US"/>
    </w:rPr>
  </w:style>
  <w:style w:type="character" w:styleId="807" w:customStyle="1">
    <w:name w:val="Насичена цитата Знак"/>
    <w:link w:val="806"/>
    <w:uiPriority w:val="30"/>
    <w:pPr>
      <w:pBdr/>
      <w:spacing/>
      <w:ind/>
    </w:pPr>
    <w:rPr>
      <w:i/>
      <w:sz w:val="22"/>
      <w:szCs w:val="22"/>
      <w:shd w:val="clear" w:color="auto" w:fill="f2f2f2"/>
      <w:lang w:val="uk-UA" w:eastAsia="en-US" w:bidi="en-US"/>
    </w:rPr>
  </w:style>
  <w:style w:type="paragraph" w:styleId="808" w:customStyle="1">
    <w:name w:val="Верхній колонтитул1"/>
    <w:link w:val="809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lang w:eastAsia="en-US" w:bidi="en-US"/>
    </w:rPr>
  </w:style>
  <w:style w:type="character" w:styleId="809" w:customStyle="1">
    <w:name w:val="Header Char"/>
    <w:link w:val="808"/>
    <w:uiPriority w:val="99"/>
    <w:pPr>
      <w:pBdr/>
      <w:spacing/>
      <w:ind/>
    </w:pPr>
    <w:rPr>
      <w:sz w:val="22"/>
      <w:szCs w:val="22"/>
      <w:lang w:val="uk-UA" w:eastAsia="en-US" w:bidi="en-US"/>
    </w:rPr>
  </w:style>
  <w:style w:type="paragraph" w:styleId="810" w:customStyle="1">
    <w:name w:val="Нижній колонтитул1"/>
    <w:link w:val="811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lang w:eastAsia="en-US" w:bidi="en-US"/>
    </w:rPr>
  </w:style>
  <w:style w:type="character" w:styleId="811" w:customStyle="1">
    <w:name w:val="Footer Char"/>
    <w:link w:val="810"/>
    <w:uiPriority w:val="99"/>
    <w:pPr>
      <w:pBdr/>
      <w:spacing/>
      <w:ind/>
    </w:pPr>
    <w:rPr>
      <w:sz w:val="22"/>
      <w:szCs w:val="22"/>
      <w:lang w:val="uk-UA" w:eastAsia="en-US" w:bidi="en-US"/>
    </w:rPr>
  </w:style>
  <w:style w:type="table" w:styleId="812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1 (світла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5 (темна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6 (кольорова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7 (кольорова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1 (світлий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5 (темний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6 (кольоровий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7 (кольоровий)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39">
    <w:name w:val="footnote text"/>
    <w:link w:val="940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/>
      <w:ind/>
    </w:pPr>
    <w:rPr>
      <w:sz w:val="18"/>
    </w:rPr>
  </w:style>
  <w:style w:type="character" w:styleId="940" w:customStyle="1">
    <w:name w:val="Текст виноски Знак"/>
    <w:link w:val="939"/>
    <w:uiPriority w:val="99"/>
    <w:semiHidden/>
    <w:pPr>
      <w:pBdr/>
      <w:spacing/>
      <w:ind/>
    </w:pPr>
    <w:rPr>
      <w:sz w:val="18"/>
      <w:szCs w:val="22"/>
      <w:lang w:bidi="ar-SA"/>
    </w:rPr>
  </w:style>
  <w:style w:type="character" w:styleId="9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2">
    <w:name w:val="toc 1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/>
    </w:pPr>
    <w:rPr>
      <w:lang w:eastAsia="en-US" w:bidi="en-US"/>
    </w:rPr>
  </w:style>
  <w:style w:type="paragraph" w:styleId="943">
    <w:name w:val="toc 2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83"/>
    </w:pPr>
    <w:rPr>
      <w:lang w:eastAsia="en-US" w:bidi="en-US"/>
    </w:rPr>
  </w:style>
  <w:style w:type="paragraph" w:styleId="944">
    <w:name w:val="toc 3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567"/>
    </w:pPr>
    <w:rPr>
      <w:lang w:eastAsia="en-US" w:bidi="en-US"/>
    </w:rPr>
  </w:style>
  <w:style w:type="paragraph" w:styleId="945">
    <w:name w:val="toc 4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850"/>
    </w:pPr>
    <w:rPr>
      <w:lang w:eastAsia="en-US" w:bidi="en-US"/>
    </w:rPr>
  </w:style>
  <w:style w:type="paragraph" w:styleId="946">
    <w:name w:val="toc 5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134"/>
    </w:pPr>
    <w:rPr>
      <w:lang w:eastAsia="en-US" w:bidi="en-US"/>
    </w:rPr>
  </w:style>
  <w:style w:type="paragraph" w:styleId="947">
    <w:name w:val="toc 6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417"/>
    </w:pPr>
    <w:rPr>
      <w:lang w:eastAsia="en-US" w:bidi="en-US"/>
    </w:rPr>
  </w:style>
  <w:style w:type="paragraph" w:styleId="948">
    <w:name w:val="toc 7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701"/>
    </w:pPr>
    <w:rPr>
      <w:lang w:eastAsia="en-US" w:bidi="en-US"/>
    </w:rPr>
  </w:style>
  <w:style w:type="paragraph" w:styleId="949">
    <w:name w:val="toc 8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984"/>
    </w:pPr>
    <w:rPr>
      <w:lang w:eastAsia="en-US" w:bidi="en-US"/>
    </w:rPr>
  </w:style>
  <w:style w:type="paragraph" w:styleId="950">
    <w:name w:val="toc 9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268"/>
    </w:pPr>
    <w:rPr>
      <w:lang w:eastAsia="en-US" w:bidi="en-US"/>
    </w:rPr>
  </w:style>
  <w:style w:type="paragraph" w:styleId="951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</w:style>
  <w:style w:type="paragraph" w:styleId="952" w:customStyle="1">
    <w:name w:val="Абзац списка Знак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color w:val="0000ff"/>
      <w:u w:val="single"/>
    </w:rPr>
  </w:style>
  <w:style w:type="character" w:styleId="953" w:customStyle="1">
    <w:name w:val="Шрифт абзацу за замовчуванням1"/>
    <w:pPr>
      <w:pBdr/>
      <w:spacing/>
      <w:ind/>
    </w:pPr>
  </w:style>
  <w:style w:type="table" w:styleId="954" w:customStyle="1">
    <w:name w:val="Звичайна таблиця1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en-US" w:bidi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 w:customStyle="1">
    <w:name w:val="Немає списку1"/>
    <w:semiHidden/>
    <w:pPr>
      <w:pBdr/>
      <w:spacing/>
      <w:ind/>
    </w:pPr>
  </w:style>
  <w:style w:type="character" w:styleId="956" w:customStyle="1">
    <w:name w:val="Гіперпосилання1"/>
    <w:semiHidden/>
    <w:pPr>
      <w:pBdr/>
      <w:spacing/>
      <w:ind/>
    </w:pPr>
    <w:rPr>
      <w:color w:val="0000ff"/>
      <w:u w:val="single"/>
    </w:rPr>
  </w:style>
  <w:style w:type="paragraph" w:styleId="957" w:customStyle="1">
    <w:name w:val="Текст у виносці1"/>
    <w:basedOn w:val="952"/>
    <w:link w:val="958"/>
    <w:semiHidden/>
    <w:pPr>
      <w:pBdr/>
      <w:spacing w:after="0" w:line="240" w:lineRule="auto"/>
      <w:ind/>
    </w:pPr>
    <w:rPr>
      <w:rFonts w:ascii="Segoe UI" w:hAnsi="Segoe UI"/>
      <w:color w:val="auto"/>
      <w:sz w:val="18"/>
      <w:szCs w:val="18"/>
      <w:u w:val="none"/>
      <w:lang w:eastAsia="en-US"/>
    </w:rPr>
  </w:style>
  <w:style w:type="character" w:styleId="958" w:customStyle="1">
    <w:name w:val="Текст у виносці Знак"/>
    <w:link w:val="957"/>
    <w:semiHidden/>
    <w:pPr>
      <w:pBdr/>
      <w:spacing/>
      <w:ind/>
    </w:pPr>
    <w:rPr>
      <w:rFonts w:ascii="Segoe UI" w:hAnsi="Segoe UI"/>
      <w:sz w:val="18"/>
      <w:szCs w:val="18"/>
      <w:lang w:val="uk-UA" w:eastAsia="en-US"/>
    </w:rPr>
  </w:style>
  <w:style w:type="table" w:styleId="959" w:customStyle="1">
    <w:name w:val="StGen0"/>
    <w:basedOn w:val="780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StGen0"/>
    <w:basedOn w:val="746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>
    <w:name w:val="Normal (Web)"/>
    <w:basedOn w:val="733"/>
    <w:uiPriority w:val="99"/>
    <w:semiHidden/>
    <w:unhideWhenUsed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962">
    <w:name w:val="Subtitle"/>
    <w:basedOn w:val="725"/>
    <w:next w:val="725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200" w:before="200"/>
      <w:ind/>
    </w:pPr>
    <w:rPr>
      <w:color w:val="000000"/>
      <w:sz w:val="24"/>
      <w:szCs w:val="24"/>
    </w:rPr>
  </w:style>
  <w:style w:type="table" w:styleId="963">
    <w:name w:val="StGen1"/>
    <w:basedOn w:val="746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hODOOyECTR/zYjPh/HqlJwQvA==">CgMxLjA4AHIhMTd3OHRwUDRIMU0xZ3hfNlNmUmU3YXpMRndsRUxEVkF2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Skorohod</dc:creator>
  <cp:lastModifiedBy>СТАРОДУБ Людмила Олександрівна</cp:lastModifiedBy>
  <cp:revision>2</cp:revision>
  <dcterms:created xsi:type="dcterms:W3CDTF">2022-11-21T06:28:00Z</dcterms:created>
  <dcterms:modified xsi:type="dcterms:W3CDTF">2024-12-01T16:53:41Z</dcterms:modified>
</cp:coreProperties>
</file>