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6"/>
        <w:pBdr/>
        <w:spacing w:after="0" w:afterAutospacing="0" w:before="0" w:beforeAutospacing="0"/>
        <w:ind w:firstLine="0" w:left="4956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  <w:r>
        <w:rPr>
          <w:lang w:val="uk-UA"/>
        </w:rPr>
      </w:r>
      <w:r>
        <w:rPr>
          <w:lang w:val="uk-UA"/>
        </w:rPr>
      </w:r>
    </w:p>
    <w:p>
      <w:pPr>
        <w:pStyle w:val="937"/>
        <w:pBdr/>
        <w:spacing w:after="0" w:afterAutospacing="0" w:before="0" w:beforeAutospacing="0"/>
        <w:ind w:firstLine="0" w:left="495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рішення </w:t>
      </w:r>
      <w:r>
        <w:rPr>
          <w:color w:val="000000"/>
          <w:sz w:val="28"/>
          <w:szCs w:val="28"/>
          <w:lang w:val="uk-UA"/>
        </w:rPr>
        <w:t xml:space="preserve">виконавчого комітету Менської міської ради 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37"/>
        <w:pBdr/>
        <w:spacing w:after="0" w:afterAutospacing="0" w:before="0" w:beforeAutospacing="0"/>
        <w:ind w:firstLine="0" w:left="4956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28 листопада </w:t>
      </w:r>
      <w:r>
        <w:rPr>
          <w:color w:val="000000"/>
          <w:sz w:val="28"/>
          <w:szCs w:val="28"/>
          <w:lang w:val="uk-UA"/>
        </w:rPr>
        <w:t xml:space="preserve">2024 року № 246</w:t>
      </w:r>
      <w:r>
        <w:rPr>
          <w:lang w:val="uk-UA"/>
        </w:rPr>
      </w:r>
      <w:r>
        <w:rPr>
          <w:lang w:val="uk-UA"/>
        </w:rPr>
      </w:r>
    </w:p>
    <w:p>
      <w:pPr>
        <w:pBdr/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ПРОЄКТ ПРОГРАМИ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розвитку культури Менської міської 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територіальної громади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на 2025-2027 роки</w:t>
      </w: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  <w:r>
        <w:rPr>
          <w:rFonts w:ascii="Times New Roman" w:hAnsi="Times New Roman" w:cs="Times New Roman"/>
          <w:b/>
          <w:sz w:val="36"/>
          <w:szCs w:val="36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hanging="36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 w:hanging="36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 w:hanging="36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 w:hanging="36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 w:hanging="36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 w:hanging="36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 w:hanging="36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/>
        <w:ind w:hanging="360"/>
        <w:jc w:val="center"/>
        <w:rPr/>
      </w:pPr>
      <w:r/>
      <w:r/>
    </w:p>
    <w:p>
      <w:pPr>
        <w:pBdr/>
        <w:spacing w:after="0"/>
        <w:ind w:hanging="360"/>
        <w:jc w:val="center"/>
        <w:rPr/>
      </w:pPr>
      <w:r/>
      <w:r/>
    </w:p>
    <w:p>
      <w:pPr>
        <w:pBdr/>
        <w:spacing w:after="0"/>
        <w:ind w:hanging="360"/>
        <w:jc w:val="center"/>
        <w:rPr/>
      </w:pPr>
      <w:r/>
      <w:r/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 Мена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2024 рік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hanging="360"/>
        <w:jc w:val="center"/>
        <w:rPr/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h="16840" w:orient="portrait" w:w="11910"/>
          <w:pgMar w:top="1040" w:right="853" w:bottom="280" w:left="1600" w:header="708" w:footer="708" w:gutter="0"/>
          <w:cols w:num="1" w:sep="0" w:space="720" w:equalWidth="1"/>
          <w:titlePg/>
        </w:sectPr>
      </w:pPr>
      <w:r/>
      <w:r/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Програми розвитку культури Менської міської територіальної громади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2025-2027 роки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632" w:type="dxa"/>
        <w:tblInd w:w="-7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6946"/>
      </w:tblGrid>
      <w:tr>
        <w:trPr>
          <w:trHeight w:val="423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Відділ культури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621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Нормативно-правові підстави для розро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Конституція України, закони України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місцеві державні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місцеве самоврядування в Україні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культуру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бібліотеки і бібліотечну справу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музеї та музейну справу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охорону культурної спадщини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туризм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28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Співрозробники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Комунальні заклади: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«Менський будинок культури»;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«Менська публічна бібліотека»;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«Центр культури та дозвілля молоді»;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«Менський краєзнавчий музей ім. 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Покотила»;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«Менська музична школа»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44"/>
        </w:trPr>
        <w:tc>
          <w:tcPr>
            <w:tcBorders>
              <w:bottom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Учасники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культури Менської міської ради, комунальний      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Менський будинок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публічна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культури та дозвілля молоді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Менський краєзнавчий музей ім. 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Покотила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комунальний заклад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музична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енська міська рада та її структурні підрозділи, інститути громадянського суспільства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6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реалізації Програми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– 2027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1336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2025-2027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36137,6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грн. з бюджету Менської міської територіальної громади та інших незаборонених законодавством джерел: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- 6906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,0 тис. грн.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14121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,7 тис.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рік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- 15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109,9 тис.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17"/>
        </w:trPr>
        <w:tc>
          <w:tcPr>
            <w:tcBorders>
              <w:top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Очікувані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Bdr/>
              <w:spacing w:after="0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оліпш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надання населенню культурно-мистецьких, масово-просвітницьких та бібліотечно-інформаційних послуг, підвищ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 у контексті формування позитивного іміджу громади, забезпе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послідовн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сфери 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Визначення проблеми, на вирішення якої спрямована Програма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розробленні Програми розвитку культури Менської міської територіальної громади на 2025-2027 роки (далі – Програма) враховувалось фундаментальне значення культури в суспільному житті громади та туризму як одного  чинників економічного зростання громади.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Програмі  визначено  основні  заходи  щодо  розвитку напрямів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«Культура», «Туризм»,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завдань, зазначених в указах Президента України, постановах Верховної Ради України, нормативних актах Кабінету Міністрів України, Міністерства культури та стратегічних комунікацій України, рішеннях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35" w:lineRule="atLeast"/>
        <w:ind w:right="0" w:firstLine="708" w:left="0"/>
        <w:jc w:val="both"/>
        <w:rPr>
          <w:sz w:val="22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Мережа закладів, що створює умови для творчого розвитку особистості, підвищення культурного рівня, естетичного виховання громадян, доступності мистецької освіти та задоволення культурних потреб населення Менської громади, складається з 5 комунальних заклад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ів: «Менський будинок культури», «Менська публічна бібліотека», «Центр культури та дозвілля молоді», «Менський краєзнавчий музей ім. В.Ф. Покотила», «Менська музична школа».</w:t>
      </w: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35" w:lineRule="atLeast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Основними проблемами в галузі культури на сьогоднішній день є: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35" w:lineRule="atLeast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створення якісного доступного культурного продукту для різних соціальних груп населення;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35" w:lineRule="atLeast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значний ступінь зношеності основних засобів закладів культури та недостатнє використання певних інноваційних досягнень, впровадження енергоефективної модернізації та санації закладів культури;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35" w:lineRule="atLeast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недостатній рівень знань з культурного маркетингу та менеджменту, фандрейзингу та стратегічного планування для розвитку кожного закладу;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35" w:lineRule="atLeast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слабка культурно-соціальна активність мешканців територіальної громади;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35" w:lineRule="atLeast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забезпечення безбар’єрного доступу до культурних послуг та інформації.</w:t>
      </w:r>
      <w:r>
        <w:rPr>
          <w:sz w:val="22"/>
        </w:rPr>
      </w:r>
      <w:r/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зазначене, маємо констатувати, що заклади культури потребують суттєвої підтримки та відновлення.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 Програми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Програми є визначення основних шляхів і способів створення умов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збереження мережі закладів культури громади, підвищення якості та доступності культурних послуг, розвитку людського капіталу Менщини через стимулювання створення та споживання культурних послуг, реалізація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державної політики в галузях «Культура» і «Туризм» на місцевому рівні, забезпечення належного рівня збереження та використання об'єктів культурної спадщини, розвитку внутрішнього та в’їзного туризму, задоволення культурних і духовних потреб людини.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Основні завдання 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Популяризація кращих зразків вітчизняного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світового класичного та сучасного мистецтва;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провадження умов для аматорської творчої діяльності у сфері театрального, музичного, хореографічного та інших видів мистецтв, спрямованої на розвиток культури та музичної освіти;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дозвілля населення;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поповнення бібліотечних фондів;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бібліотечного цифрового ХАБу;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Національної стратегії зі створення безбар’єрного простору в Україні;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пошук обдарованої молоді та стимулювання її творчого розвитку;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підвищення професійної компетенції працівників закладів культури;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покращення матеріально-технічної бази закладів культури;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створення нових експозицій та виставок у музеях;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впровадження цифрових технологій у музейній сфері;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збереження фондової та облікової документації на музейні предмети;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популяризація туристичного потенціалу Менської громади;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розроблення туристичних маршрутів та проведення екскурсій;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зеленого туризму.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Шляхи і засоби 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конання 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Виконання завдань, необхідних для розв’язання вищезазначених проблем, передбачається шляхом вжиття відповідних заходів у сфері культури, збереження культурної спадщини та туризму, а саме: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культурно-мистецьких заходів;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фінансова підтримка дитячих творчих колективів;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відновлення об'єкта, пошкодженого майна унаслідок військової агресії рф;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модернізація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технічного</w:t>
      </w:r>
      <w:r>
        <w:rPr>
          <w:rFonts w:ascii="Times New Roman" w:hAnsi="Times New Roman" w:cs="Times New Roman"/>
          <w:sz w:val="28"/>
          <w:szCs w:val="28"/>
        </w:rPr>
        <w:tab/>
        <w:t xml:space="preserve">обладнання,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постановочного</w:t>
      </w:r>
      <w:r>
        <w:rPr>
          <w:rFonts w:ascii="Times New Roman" w:hAnsi="Times New Roman" w:cs="Times New Roman"/>
          <w:sz w:val="28"/>
          <w:szCs w:val="28"/>
        </w:rPr>
        <w:tab/>
        <w:t xml:space="preserve">освітлення та звукового обладнання будинків культури;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транспортного засобу для здійснення гастрольної діяльності;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і проведення навчально-методичних заходів для працівників клубних закладів громади (конференцій, семінарів, лекцій, майстер-класів,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зокрема виїзних семінарів-практикумів);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творчого огляду клубних закладів Менської громади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Менські передзвони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присвоєння (підтвердження) звання «Народний (зразковий) аматорський колектив (студія)»;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поповнення фонду  бібліотек друкованими та електронними виданнями;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обладнання для створення Електронної бібліотеки;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та обслуговування програмного забезпечення автоматизованої інформаційно-бібліотечної системи;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технічне забезпечення реалізації проєкту «Бібліотечний ХАБ»;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і проведення навчально-методичних заходів для працівників бібліотечних закладів (цикли семінарів-практикумів, вебінари, тренінги, консультації, онлайн-зустрічі);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встановлення вказівників для осіб з інвалідністю;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відзначення учнів мистецької школи громади шляхом надання щорічної винагороди;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системного підвищення кваліфікації працівників закладів культури та спеціалізованої мистецької освіти;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музичних інструментів;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експедиційної діяльності щодо дослідження та інвентаризації елементів нематеріальної культурної спадщини Менської громади, моніторингу стану життєздатності елементів нематеріальної культурної спадщини;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місцевих фестивалів-конкурсів традиційної народної культури; придбання необхідної для музеїв комп’ютерної, мультимедійної та іншої техніки;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розроблення проєкту експозиції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Менщина територія Героїв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встановлення систем охоронної сигналізації та відеонагляду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Стольненському народному музеї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безбар’єрного доступу для осіб з інвалідністю та інших маломобільних груп населення до закладів культури</w:t>
      </w:r>
      <w:r>
        <w:rPr>
          <w:rFonts w:ascii="Times New Roman" w:hAnsi="Times New Roman" w:cs="Times New Roman"/>
          <w:sz w:val="28"/>
          <w:szCs w:val="28"/>
        </w:rPr>
        <w:t xml:space="preserve"> та об’єктів туристичної інфраструктури та архітектурної спадщини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встановлення цифрових туристичних інформаційних боксів (сенсорних туристично-інформаційних кіосків) у зонах активності туристів (із попереднім виготовленням інформаційного наповнення);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облаштування туристичних об’єктів (установлення вивісок із назвою об’єкта, інформаційних стендів з актуальною інформацією про туристичний потенціал на</w:t>
      </w:r>
      <w:r>
        <w:rPr>
          <w:rFonts w:ascii="Times New Roman" w:hAnsi="Times New Roman" w:cs="Times New Roman"/>
          <w:sz w:val="28"/>
          <w:szCs w:val="28"/>
        </w:rPr>
        <w:t xml:space="preserve">селених пунктів і громад, інформаційних табличок з QR-кодом, білбордів, сіті-лайтів, лайт-боксів, сміттєвих боксів, велопарковок, велопрокату, фотозон, зон відпочинку, оглядових майданчиків, фотозон тощо) та маркування екскурсійних і туристичних маршрутів;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мультимедійної продукції щодо туристичного потенціалу </w:t>
      </w:r>
      <w:r>
        <w:rPr>
          <w:rFonts w:ascii="Times New Roman" w:hAnsi="Times New Roman" w:cs="Times New Roman"/>
          <w:sz w:val="28"/>
          <w:szCs w:val="28"/>
        </w:rPr>
        <w:t xml:space="preserve">Ме</w:t>
      </w:r>
      <w:r>
        <w:rPr>
          <w:rFonts w:ascii="Times New Roman" w:hAnsi="Times New Roman" w:cs="Times New Roman"/>
          <w:sz w:val="28"/>
          <w:szCs w:val="28"/>
        </w:rPr>
        <w:t xml:space="preserve">нської громади</w:t>
      </w:r>
      <w:r>
        <w:rPr>
          <w:rFonts w:ascii="Times New Roman" w:hAnsi="Times New Roman" w:cs="Times New Roman"/>
          <w:sz w:val="28"/>
          <w:szCs w:val="28"/>
        </w:rPr>
        <w:t xml:space="preserve">, забезпечення розроблення та поширення рекламно-інформаційної та сувенірної продукції, у тому числі іноземними мовами;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участь у регіональних,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сеукраїнських, міжнародних галузевих заходах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(виставках-ярмарках, форумах, семінарах, конференціях, салонах, інфотурах тощо);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розроблення  патріотичних екскурсійних маршрутів у межах проєкту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Тури пам’яті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розвиток молодіжних просторів;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кінопоказів в населених пунктах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пересувни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кінотеатр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</w:t>
      </w:r>
      <w:r>
        <w:rPr>
          <w:rFonts w:ascii="Times New Roman" w:hAnsi="Times New Roman" w:cs="Times New Roman"/>
          <w:sz w:val="28"/>
          <w:szCs w:val="28"/>
        </w:rPr>
        <w:t xml:space="preserve"> заходів з відзначення подвигів ветеранів війни, проявлених під час захисту суверенітету, територіальної цілісності та недоторканності України, формування у жителів громади відчуття вдячності та поваги до ветеранів війни;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вшанування на належному рівні пам’яті загиблих захисників України.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Заходи щодо реалізації програми вкладені в додатку 1 до Програми.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Фінансова підтримка дитячих творчих колективів вкладена в додатку 2 до Програми,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виплата разової фінансової допомоги учням комунального закладу “Менська музична школа”, які стали переможцями обласних, Всеукраїнських, Міжнародних конкурсів та їх викладачам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викладена в додатку 3 до Програми.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8" w:left="0"/>
        <w:jc w:val="both"/>
        <w:rPr>
          <w:sz w:val="22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sz w:val="22"/>
        </w:rPr>
      </w:r>
      <w:r>
        <w:rPr>
          <w:sz w:val="22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Фінансове забезпечення реалізації 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Джерелами фінансування Програми є кошти місцевого бюджету в межах його фінансових можливостей, а також інших джерел, не заборонених чинним законодавством України.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Програми здійснюється з урахуванн</w:t>
      </w:r>
      <w:r>
        <w:rPr>
          <w:rFonts w:ascii="Times New Roman" w:hAnsi="Times New Roman" w:cs="Times New Roman"/>
          <w:sz w:val="28"/>
          <w:szCs w:val="28"/>
        </w:rPr>
        <w:t xml:space="preserve">ям залученої фінансової та технічної допомоги, яку надають Україні міжнародні організації, а також іноземні країни. Технічна допомога може бути залучена у формі експертної допомоги, необхідних матеріальних ресурсів або коштів, виділених на цільові потреби.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Програму передбачено реалізувати за 3 роки, у період з 2025 року по 2027 рік включно.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обсяг фінансування складає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6137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,6 тис. </w:t>
      </w:r>
      <w:r>
        <w:rPr>
          <w:rFonts w:ascii="Times New Roman" w:hAnsi="Times New Roman" w:cs="Times New Roman"/>
          <w:sz w:val="28"/>
          <w:szCs w:val="28"/>
        </w:rPr>
        <w:t xml:space="preserve">грн.: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2025 рік - 6906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,0 тис. грн.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2026 рік - 14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121,7 тис. грн.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2027 рік - 15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109,9 тис. грн.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показники результативності Програми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якісного культурного продукту населенню;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поповнення бібліотечних фондів;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покращення матеріально-технічної бази закладів культури громади;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numPr>
          <w:ilvl w:val="0"/>
          <w:numId w:val="2"/>
        </w:num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інвентаризація (дослідження) об’єктів культурної спадщини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створення нових експозицій, із застосуванням сучасних мультимедійних та інформаційно-комунікаційних технологій у музеях;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збільшення кількості туристів та екскурсантів;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популяризація туристичного потенціалу Менської громади;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безбар</w:t>
      </w:r>
      <w:r>
        <w:rPr>
          <w:rFonts w:ascii="Times New Roman" w:hAnsi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єрний доступ до закладів культури та об’єктів туристичної інфраструктури громади;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задоволення культурних та дозвіллєвих потреб населення;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формування у жителів громади відчуття вдячності та поваги до ветеранів </w:t>
      </w:r>
      <w:r>
        <w:rPr>
          <w:rFonts w:ascii="Times New Roman" w:hAnsi="Times New Roman" w:cs="Times New Roman"/>
          <w:sz w:val="28"/>
          <w:szCs w:val="28"/>
        </w:rPr>
        <w:t xml:space="preserve">російсько-української </w:t>
      </w:r>
      <w:r>
        <w:rPr>
          <w:rFonts w:ascii="Times New Roman" w:hAnsi="Times New Roman" w:cs="Times New Roman"/>
          <w:sz w:val="28"/>
          <w:szCs w:val="28"/>
        </w:rPr>
        <w:t xml:space="preserve">війни та вшанування пам’яті загиблих захисників України.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Очікувані результати від реалізації 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реалізації Програми стане підвищення якості та доступності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всіх видів культурних послуг населенню не нижче мінімальних стандартів забезпечення громадян культурними послугами, забезпечення свободи творчості та форм культурного самовираження громадян, а також забезпечення прав громадян у сфері культури, зокрема: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створення умов для творчого розвитку особистості, підвищення культурного рівня та естетичного виховання населення шляхом забезпечення права громадян провадити творчу діяльність на професійній та/або аматорській основі;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популяризація нематеріальної культурної спадщини як невід’ємної ознаки ідентичності  культури громади;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права громадян на доступ до культурних цінностей шляхом ознайомлення з музейними колекціями, користування фондами бібліотек, створення та поповнення електронних каталогів;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права громадян на здобуття мистецької освіти початкового рівня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підвищення професійної компетенції працівників закладів культури громади;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збереження державної частини музейного фонду України; збереження та популяризація об’єктів культурної спадщини;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розширення переліку туристичних та туристично-інформаційних послу;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підтримання та покращення позитивного іміджу Менської громади.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pBdr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Координація роботи і контроль за реалізацією Програми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Головним виконавцем Програми є Відділ культури Менської міської ради.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Програми здійснює</w:t>
      </w:r>
      <w:r>
        <w:rPr>
          <w:rFonts w:ascii="Segoe UI" w:hAnsi="Segoe UI" w:eastAsia="Segoe UI" w:cs="Segoe UI"/>
          <w:b/>
          <w:color w:val="292b2c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постійна комісія з питань </w:t>
      </w:r>
      <w:r>
        <w:rPr>
          <w:rFonts w:ascii="Times New Roman" w:hAnsi="Times New Roman" w:eastAsia="Times New Roman" w:cs="Times New Roman"/>
          <w:b w:val="0"/>
          <w:color w:val="292b2c"/>
          <w:sz w:val="28"/>
          <w:highlight w:val="white"/>
        </w:rPr>
        <w:t xml:space="preserve">охорони здоров’я, соціального захисту населення, освіти, культури, молоді, фізкультури і спорту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highlight w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культури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</w:t>
        <w:tab/>
        <w:t xml:space="preserve">Світлана ШЕЛУДЬКО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1"/>
      <w:footnotePr/>
      <w:endnotePr/>
      <w:type w:val="nextPage"/>
      <w:pgSz w:h="16840" w:orient="portrait" w:w="11910"/>
      <w:pgMar w:top="1134" w:right="595" w:bottom="1134" w:left="1712" w:header="720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  <w:t xml:space="preserve">  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/>
    </w:pPr>
    <w:r>
      <w:t xml:space="preserve">                                                                                           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jc w:val="right"/>
      <w:rPr>
        <w:rFonts w:ascii="Times New Roman" w:hAnsi="Times New Roman" w:cs="Times New Roman"/>
      </w:rPr>
    </w:pPr>
    <w:r>
      <w:t xml:space="preserve">                         </w:t>
    </w:r>
    <w:r>
      <w:rPr>
        <w:rFonts w:ascii="Times New Roman" w:hAnsi="Times New Roman" w:eastAsia="Times New Roman" w:cs="Times New Roman"/>
      </w:rPr>
      <w:t xml:space="preserve">        </w:t>
    </w: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  <w:t xml:space="preserve">                                             продовження додатка</w:t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6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6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15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Caption Char"/>
    <w:basedOn w:val="918"/>
    <w:link w:val="916"/>
    <w:uiPriority w:val="99"/>
    <w:pPr>
      <w:pBdr/>
      <w:spacing/>
      <w:ind/>
    </w:pPr>
  </w:style>
  <w:style w:type="paragraph" w:styleId="745">
    <w:name w:val="toc 1"/>
    <w:basedOn w:val="929"/>
    <w:next w:val="929"/>
    <w:uiPriority w:val="39"/>
    <w:unhideWhenUsed/>
    <w:pPr>
      <w:pBdr/>
      <w:spacing w:after="57"/>
      <w:ind w:right="0" w:firstLine="0" w:left="0"/>
    </w:pPr>
  </w:style>
  <w:style w:type="paragraph" w:styleId="746">
    <w:name w:val="toc 2"/>
    <w:basedOn w:val="929"/>
    <w:next w:val="929"/>
    <w:uiPriority w:val="39"/>
    <w:unhideWhenUsed/>
    <w:pPr>
      <w:pBdr/>
      <w:spacing w:after="57"/>
      <w:ind w:right="0" w:firstLine="0" w:left="283"/>
    </w:pPr>
  </w:style>
  <w:style w:type="paragraph" w:styleId="747">
    <w:name w:val="toc 3"/>
    <w:basedOn w:val="929"/>
    <w:next w:val="929"/>
    <w:uiPriority w:val="39"/>
    <w:unhideWhenUsed/>
    <w:pPr>
      <w:pBdr/>
      <w:spacing w:after="57"/>
      <w:ind w:right="0" w:firstLine="0" w:left="567"/>
    </w:pPr>
  </w:style>
  <w:style w:type="paragraph" w:styleId="748">
    <w:name w:val="toc 4"/>
    <w:basedOn w:val="929"/>
    <w:next w:val="929"/>
    <w:uiPriority w:val="39"/>
    <w:unhideWhenUsed/>
    <w:pPr>
      <w:pBdr/>
      <w:spacing w:after="57"/>
      <w:ind w:right="0" w:firstLine="0" w:left="850"/>
    </w:pPr>
  </w:style>
  <w:style w:type="paragraph" w:styleId="749">
    <w:name w:val="toc 5"/>
    <w:basedOn w:val="929"/>
    <w:next w:val="929"/>
    <w:uiPriority w:val="39"/>
    <w:unhideWhenUsed/>
    <w:pPr>
      <w:pBdr/>
      <w:spacing w:after="57"/>
      <w:ind w:right="0" w:firstLine="0" w:left="1134"/>
    </w:pPr>
  </w:style>
  <w:style w:type="paragraph" w:styleId="750">
    <w:name w:val="toc 6"/>
    <w:basedOn w:val="929"/>
    <w:next w:val="929"/>
    <w:uiPriority w:val="39"/>
    <w:unhideWhenUsed/>
    <w:pPr>
      <w:pBdr/>
      <w:spacing w:after="57"/>
      <w:ind w:right="0" w:firstLine="0" w:left="1417"/>
    </w:pPr>
  </w:style>
  <w:style w:type="paragraph" w:styleId="751">
    <w:name w:val="toc 7"/>
    <w:basedOn w:val="929"/>
    <w:next w:val="929"/>
    <w:uiPriority w:val="39"/>
    <w:unhideWhenUsed/>
    <w:pPr>
      <w:pBdr/>
      <w:spacing w:after="57"/>
      <w:ind w:right="0" w:firstLine="0" w:left="1701"/>
    </w:pPr>
  </w:style>
  <w:style w:type="paragraph" w:styleId="752">
    <w:name w:val="toc 8"/>
    <w:basedOn w:val="929"/>
    <w:next w:val="929"/>
    <w:uiPriority w:val="39"/>
    <w:unhideWhenUsed/>
    <w:pPr>
      <w:pBdr/>
      <w:spacing w:after="57"/>
      <w:ind w:right="0" w:firstLine="0" w:left="1984"/>
    </w:pPr>
  </w:style>
  <w:style w:type="paragraph" w:styleId="753">
    <w:name w:val="toc 9"/>
    <w:basedOn w:val="929"/>
    <w:next w:val="929"/>
    <w:uiPriority w:val="39"/>
    <w:unhideWhenUsed/>
    <w:pPr>
      <w:pBdr/>
      <w:spacing w:after="57"/>
      <w:ind w:right="0" w:firstLine="0" w:left="2268"/>
    </w:pPr>
  </w:style>
  <w:style w:type="table" w:styleId="754">
    <w:name w:val="Table Grid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Heading 1"/>
    <w:basedOn w:val="929"/>
    <w:next w:val="929"/>
    <w:link w:val="8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1">
    <w:name w:val="Heading 2"/>
    <w:basedOn w:val="929"/>
    <w:next w:val="929"/>
    <w:link w:val="8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2">
    <w:name w:val="Heading 3"/>
    <w:basedOn w:val="929"/>
    <w:next w:val="929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3">
    <w:name w:val="Heading 4"/>
    <w:basedOn w:val="929"/>
    <w:next w:val="929"/>
    <w:link w:val="89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4">
    <w:name w:val="Heading 5"/>
    <w:basedOn w:val="929"/>
    <w:next w:val="929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5">
    <w:name w:val="Heading 6"/>
    <w:basedOn w:val="929"/>
    <w:next w:val="929"/>
    <w:link w:val="89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6">
    <w:name w:val="Heading 7"/>
    <w:basedOn w:val="929"/>
    <w:next w:val="929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7">
    <w:name w:val="Heading 8"/>
    <w:basedOn w:val="929"/>
    <w:next w:val="929"/>
    <w:link w:val="89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8">
    <w:name w:val="Heading 9"/>
    <w:basedOn w:val="929"/>
    <w:next w:val="929"/>
    <w:link w:val="89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9">
    <w:name w:val="Heading 1 Char"/>
    <w:basedOn w:val="930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0">
    <w:name w:val="Heading 2 Char"/>
    <w:basedOn w:val="930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1">
    <w:name w:val="Heading 3 Char"/>
    <w:basedOn w:val="930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2">
    <w:name w:val="Heading 4 Char"/>
    <w:basedOn w:val="930"/>
    <w:link w:val="8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3">
    <w:name w:val="Heading 5 Char"/>
    <w:basedOn w:val="930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4">
    <w:name w:val="Heading 6 Char"/>
    <w:basedOn w:val="930"/>
    <w:link w:val="8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5">
    <w:name w:val="Heading 7 Char"/>
    <w:basedOn w:val="930"/>
    <w:link w:val="8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6">
    <w:name w:val="Heading 8 Char"/>
    <w:basedOn w:val="930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Heading 9 Char"/>
    <w:basedOn w:val="930"/>
    <w:link w:val="8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Title"/>
    <w:basedOn w:val="929"/>
    <w:next w:val="929"/>
    <w:link w:val="89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9">
    <w:name w:val="Title Char"/>
    <w:basedOn w:val="930"/>
    <w:link w:val="8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0">
    <w:name w:val="Subtitle"/>
    <w:basedOn w:val="929"/>
    <w:next w:val="929"/>
    <w:link w:val="90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1">
    <w:name w:val="Subtitle Char"/>
    <w:basedOn w:val="930"/>
    <w:link w:val="9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929"/>
    <w:next w:val="929"/>
    <w:link w:val="9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3">
    <w:name w:val="Quote Char"/>
    <w:basedOn w:val="930"/>
    <w:link w:val="9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4">
    <w:name w:val="Intense Emphasis"/>
    <w:basedOn w:val="9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5">
    <w:name w:val="Intense Quote"/>
    <w:basedOn w:val="929"/>
    <w:next w:val="929"/>
    <w:link w:val="90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6">
    <w:name w:val="Intense Quote Char"/>
    <w:basedOn w:val="930"/>
    <w:link w:val="90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7">
    <w:name w:val="Intense Reference"/>
    <w:basedOn w:val="9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8">
    <w:name w:val="No Spacing"/>
    <w:basedOn w:val="929"/>
    <w:uiPriority w:val="1"/>
    <w:qFormat/>
    <w:pPr>
      <w:pBdr/>
      <w:spacing w:after="0" w:line="240" w:lineRule="auto"/>
      <w:ind/>
    </w:pPr>
  </w:style>
  <w:style w:type="character" w:styleId="909">
    <w:name w:val="Subtle Emphasis"/>
    <w:basedOn w:val="9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911">
    <w:name w:val="Strong"/>
    <w:basedOn w:val="930"/>
    <w:uiPriority w:val="22"/>
    <w:qFormat/>
    <w:pPr>
      <w:pBdr/>
      <w:spacing/>
      <w:ind/>
    </w:pPr>
    <w:rPr>
      <w:b/>
      <w:bCs/>
    </w:rPr>
  </w:style>
  <w:style w:type="character" w:styleId="912">
    <w:name w:val="Subtle Reference"/>
    <w:basedOn w:val="9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9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4">
    <w:name w:val="Header"/>
    <w:basedOn w:val="929"/>
    <w:link w:val="9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5">
    <w:name w:val="Header Char"/>
    <w:basedOn w:val="930"/>
    <w:link w:val="914"/>
    <w:uiPriority w:val="99"/>
    <w:pPr>
      <w:pBdr/>
      <w:spacing/>
      <w:ind/>
    </w:pPr>
  </w:style>
  <w:style w:type="paragraph" w:styleId="916">
    <w:name w:val="Footer"/>
    <w:basedOn w:val="929"/>
    <w:link w:val="9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7">
    <w:name w:val="Footer Char"/>
    <w:basedOn w:val="930"/>
    <w:link w:val="916"/>
    <w:uiPriority w:val="99"/>
    <w:pPr>
      <w:pBdr/>
      <w:spacing/>
      <w:ind/>
    </w:pPr>
  </w:style>
  <w:style w:type="paragraph" w:styleId="918">
    <w:name w:val="Caption"/>
    <w:basedOn w:val="929"/>
    <w:next w:val="9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9">
    <w:name w:val="footnote text"/>
    <w:basedOn w:val="929"/>
    <w:link w:val="9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0">
    <w:name w:val="Footnote Text Char"/>
    <w:basedOn w:val="930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endnote text"/>
    <w:basedOn w:val="929"/>
    <w:link w:val="9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3">
    <w:name w:val="Endnote Text Char"/>
    <w:basedOn w:val="930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25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6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929"/>
    <w:next w:val="929"/>
    <w:uiPriority w:val="99"/>
    <w:unhideWhenUsed/>
    <w:pPr>
      <w:pBdr/>
      <w:spacing w:after="0" w:afterAutospacing="0"/>
      <w:ind/>
    </w:pPr>
  </w:style>
  <w:style w:type="paragraph" w:styleId="929" w:default="1">
    <w:name w:val="Normal"/>
    <w:qFormat/>
    <w:pPr>
      <w:pBdr/>
      <w:spacing/>
      <w:ind/>
    </w:pPr>
  </w:style>
  <w:style w:type="character" w:styleId="930" w:default="1">
    <w:name w:val="Default Paragraph Font"/>
    <w:uiPriority w:val="1"/>
    <w:unhideWhenUsed/>
    <w:pPr>
      <w:pBdr/>
      <w:spacing/>
      <w:ind/>
    </w:p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paragraph" w:styleId="933">
    <w:name w:val="Body Text"/>
    <w:basedOn w:val="929"/>
    <w:link w:val="934"/>
    <w:uiPriority w:val="99"/>
    <w:semiHidden/>
    <w:unhideWhenUsed/>
    <w:pPr>
      <w:pBdr/>
      <w:spacing w:after="120"/>
      <w:ind/>
    </w:pPr>
  </w:style>
  <w:style w:type="character" w:styleId="934" w:customStyle="1">
    <w:name w:val="Основной текст Знак"/>
    <w:basedOn w:val="930"/>
    <w:link w:val="933"/>
    <w:uiPriority w:val="99"/>
    <w:semiHidden/>
    <w:pPr>
      <w:pBdr/>
      <w:spacing/>
      <w:ind/>
    </w:pPr>
  </w:style>
  <w:style w:type="paragraph" w:styleId="935">
    <w:name w:val="List Paragraph"/>
    <w:basedOn w:val="929"/>
    <w:uiPriority w:val="34"/>
    <w:qFormat/>
    <w:pPr>
      <w:pBdr/>
      <w:spacing/>
      <w:ind w:left="720"/>
      <w:contextualSpacing w:val="true"/>
    </w:pPr>
  </w:style>
  <w:style w:type="paragraph" w:styleId="936" w:customStyle="1">
    <w:name w:val="docdata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  <w:style w:type="paragraph" w:styleId="937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СТАРОДУБ Людмила Олександрівна</cp:lastModifiedBy>
  <cp:revision>33</cp:revision>
  <dcterms:created xsi:type="dcterms:W3CDTF">2024-11-17T18:41:00Z</dcterms:created>
  <dcterms:modified xsi:type="dcterms:W3CDTF">2024-12-04T13:53:04Z</dcterms:modified>
</cp:coreProperties>
</file>