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 w:left="5954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 w:eastAsia="Batang"/>
          <w:color w:val="000000" w:themeColor="text1"/>
          <w:sz w:val="28"/>
          <w:szCs w:val="28"/>
          <w:lang w:eastAsia="ru-RU"/>
        </w:rPr>
        <w:t xml:space="preserve">Д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одаток</w:t>
      </w:r>
      <w:r>
        <w:rPr>
          <w:rFonts w:ascii="Times New Roman" w:hAnsi="Times New Roman"/>
          <w:bCs/>
          <w:iCs/>
          <w:sz w:val="28"/>
          <w:szCs w:val="28"/>
        </w:rPr>
      </w:r>
      <w:r>
        <w:rPr>
          <w:rFonts w:ascii="Times New Roman" w:hAnsi="Times New Roman"/>
          <w:bCs/>
          <w:iCs/>
          <w:sz w:val="28"/>
          <w:szCs w:val="28"/>
        </w:rPr>
      </w:r>
    </w:p>
    <w:p>
      <w:pPr>
        <w:pBdr/>
        <w:spacing w:after="0" w:line="240" w:lineRule="auto"/>
        <w:ind w:left="5954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до рішення виконавчого комітету</w:t>
      </w:r>
      <w:r>
        <w:rPr>
          <w:rFonts w:ascii="Times New Roman" w:hAnsi="Times New Roman"/>
          <w:bCs/>
          <w:iCs/>
          <w:sz w:val="28"/>
          <w:szCs w:val="28"/>
        </w:rPr>
      </w:r>
      <w:r>
        <w:rPr>
          <w:rFonts w:ascii="Times New Roman" w:hAnsi="Times New Roman"/>
          <w:bCs/>
          <w:iCs/>
          <w:sz w:val="28"/>
          <w:szCs w:val="28"/>
        </w:rPr>
      </w:r>
    </w:p>
    <w:p>
      <w:pPr>
        <w:pBdr/>
        <w:spacing w:after="0" w:line="240" w:lineRule="auto"/>
        <w:ind w:left="5954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Менської міської ради від</w:t>
      </w:r>
      <w:r>
        <w:rPr>
          <w:rFonts w:ascii="Times New Roman" w:hAnsi="Times New Roman"/>
          <w:bCs/>
          <w:iCs/>
          <w:sz w:val="28"/>
          <w:szCs w:val="28"/>
        </w:rPr>
      </w:r>
      <w:r>
        <w:rPr>
          <w:rFonts w:ascii="Times New Roman" w:hAnsi="Times New Roman"/>
          <w:bCs/>
          <w:iCs/>
          <w:sz w:val="28"/>
          <w:szCs w:val="28"/>
        </w:rPr>
      </w:r>
    </w:p>
    <w:p>
      <w:pPr>
        <w:pBdr/>
        <w:spacing w:after="0" w:line="240" w:lineRule="auto"/>
        <w:ind w:left="5954"/>
        <w:jc w:val="both"/>
        <w:rPr>
          <w:rFonts w:ascii="Times New Roman" w:hAnsi="Times New Roman" w:eastAsia="Batang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28 листопада 2024 року № 251</w:t>
      </w:r>
      <w:r>
        <w:rPr>
          <w:rFonts w:ascii="Times New Roman" w:hAnsi="Times New Roman" w:eastAsia="Batang"/>
          <w:bCs/>
          <w:iCs/>
          <w:sz w:val="28"/>
          <w:szCs w:val="28"/>
        </w:rPr>
      </w:r>
      <w:r>
        <w:rPr>
          <w:rFonts w:ascii="Times New Roman" w:hAnsi="Times New Roman" w:eastAsia="Batang"/>
          <w:bCs/>
          <w:iCs/>
          <w:sz w:val="28"/>
          <w:szCs w:val="28"/>
        </w:rPr>
      </w:r>
    </w:p>
    <w:p>
      <w:pPr>
        <w:pBdr/>
        <w:spacing w:after="0" w:line="240" w:lineRule="auto"/>
        <w:ind w:left="5954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left="5954"/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</w:p>
    <w:p>
      <w:pPr>
        <w:pBdr/>
        <w:spacing w:after="0" w:line="240" w:lineRule="auto"/>
        <w:ind w:left="5954"/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</w:p>
    <w:p>
      <w:pPr>
        <w:pBdr/>
        <w:spacing w:after="0" w:line="240" w:lineRule="auto"/>
        <w:ind w:left="5954"/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</w:p>
    <w:p>
      <w:pPr>
        <w:pBdr/>
        <w:spacing w:after="0" w:line="240" w:lineRule="auto"/>
        <w:ind w:left="5954"/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</w:p>
    <w:p>
      <w:pPr>
        <w:pBdr/>
        <w:spacing w:after="0" w:line="240" w:lineRule="auto"/>
        <w:ind w:left="5954"/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</w:p>
    <w:p>
      <w:pPr>
        <w:pBdr/>
        <w:spacing w:after="0" w:line="240" w:lineRule="auto"/>
        <w:ind w:left="5954"/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</w:p>
    <w:p>
      <w:pPr>
        <w:pBdr/>
        <w:spacing w:after="0" w:line="240" w:lineRule="auto"/>
        <w:ind w:right="-141"/>
        <w:rPr>
          <w:rFonts w:ascii="Times New Roman" w:hAnsi="Times New Roman" w:eastAsia="Batang"/>
          <w:sz w:val="52"/>
          <w:szCs w:val="20"/>
          <w:lang w:eastAsia="ru-RU"/>
        </w:rPr>
      </w:pPr>
      <w:r>
        <w:rPr>
          <w:rFonts w:ascii="Times New Roman" w:hAnsi="Times New Roman" w:eastAsia="Batang"/>
          <w:sz w:val="52"/>
          <w:szCs w:val="20"/>
          <w:lang w:eastAsia="ru-RU"/>
        </w:rPr>
      </w:r>
      <w:r>
        <w:rPr>
          <w:rFonts w:ascii="Times New Roman" w:hAnsi="Times New Roman" w:eastAsia="Batang"/>
          <w:sz w:val="52"/>
          <w:szCs w:val="20"/>
          <w:lang w:eastAsia="ru-RU"/>
        </w:rPr>
      </w:r>
      <w:r>
        <w:rPr>
          <w:rFonts w:ascii="Times New Roman" w:hAnsi="Times New Roman" w:eastAsia="Batang"/>
          <w:sz w:val="52"/>
          <w:szCs w:val="20"/>
          <w:lang w:eastAsia="ru-RU"/>
        </w:rPr>
      </w:r>
    </w:p>
    <w:p>
      <w:pPr>
        <w:pBdr/>
        <w:spacing w:after="0" w:line="240" w:lineRule="auto"/>
        <w:ind w:right="-141"/>
        <w:rPr>
          <w:rFonts w:ascii="Times New Roman" w:hAnsi="Times New Roman" w:eastAsia="Batang"/>
          <w:sz w:val="52"/>
          <w:szCs w:val="20"/>
          <w:lang w:eastAsia="ru-RU"/>
        </w:rPr>
      </w:pPr>
      <w:r>
        <w:rPr>
          <w:rFonts w:ascii="Times New Roman" w:hAnsi="Times New Roman" w:eastAsia="Batang"/>
          <w:sz w:val="52"/>
          <w:szCs w:val="20"/>
          <w:lang w:eastAsia="ru-RU"/>
        </w:rPr>
      </w:r>
      <w:r>
        <w:rPr>
          <w:rFonts w:ascii="Times New Roman" w:hAnsi="Times New Roman" w:eastAsia="Batang"/>
          <w:sz w:val="52"/>
          <w:szCs w:val="20"/>
          <w:lang w:eastAsia="ru-RU"/>
        </w:rPr>
      </w:r>
      <w:r>
        <w:rPr>
          <w:rFonts w:ascii="Times New Roman" w:hAnsi="Times New Roman" w:eastAsia="Batang"/>
          <w:sz w:val="52"/>
          <w:szCs w:val="20"/>
          <w:lang w:eastAsia="ru-RU"/>
        </w:rPr>
      </w:r>
    </w:p>
    <w:p>
      <w:pPr>
        <w:pBdr/>
        <w:spacing w:after="0" w:line="240" w:lineRule="auto"/>
        <w:ind w:right="-141"/>
        <w:rPr>
          <w:rFonts w:ascii="Times New Roman" w:hAnsi="Times New Roman" w:eastAsia="Batang"/>
          <w:sz w:val="52"/>
          <w:szCs w:val="20"/>
          <w:lang w:eastAsia="ru-RU"/>
        </w:rPr>
      </w:pPr>
      <w:r>
        <w:rPr>
          <w:rFonts w:ascii="Times New Roman" w:hAnsi="Times New Roman" w:eastAsia="Batang"/>
          <w:sz w:val="52"/>
          <w:szCs w:val="20"/>
          <w:lang w:eastAsia="ru-RU"/>
        </w:rPr>
      </w:r>
      <w:r>
        <w:rPr>
          <w:rFonts w:ascii="Times New Roman" w:hAnsi="Times New Roman" w:eastAsia="Batang"/>
          <w:sz w:val="52"/>
          <w:szCs w:val="20"/>
          <w:lang w:eastAsia="ru-RU"/>
        </w:rPr>
      </w:r>
      <w:r>
        <w:rPr>
          <w:rFonts w:ascii="Times New Roman" w:hAnsi="Times New Roman" w:eastAsia="Batang"/>
          <w:sz w:val="52"/>
          <w:szCs w:val="20"/>
          <w:lang w:eastAsia="ru-RU"/>
        </w:rPr>
      </w:r>
    </w:p>
    <w:p>
      <w:pPr>
        <w:pBdr/>
        <w:spacing w:after="0" w:line="240" w:lineRule="auto"/>
        <w:ind w:right="-141"/>
        <w:jc w:val="center"/>
        <w:rPr>
          <w:rFonts w:ascii="Times New Roman" w:hAnsi="Times New Roman" w:eastAsia="Batang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Batang"/>
          <w:b/>
          <w:color w:val="000000"/>
          <w:sz w:val="36"/>
          <w:szCs w:val="36"/>
          <w:lang w:eastAsia="ru-RU"/>
        </w:rPr>
        <w:t xml:space="preserve">ПРОЄКТ  ПРОГРАМИ </w:t>
      </w:r>
      <w:r>
        <w:rPr>
          <w:rFonts w:ascii="Times New Roman" w:hAnsi="Times New Roman" w:eastAsia="Batang"/>
          <w:b/>
          <w:color w:val="000000"/>
          <w:sz w:val="36"/>
          <w:szCs w:val="36"/>
          <w:lang w:eastAsia="ru-RU"/>
        </w:rPr>
      </w:r>
      <w:r>
        <w:rPr>
          <w:rFonts w:ascii="Times New Roman" w:hAnsi="Times New Roman" w:eastAsia="Batang"/>
          <w:b/>
          <w:color w:val="000000"/>
          <w:sz w:val="36"/>
          <w:szCs w:val="36"/>
          <w:lang w:eastAsia="ru-RU"/>
        </w:rPr>
      </w:r>
    </w:p>
    <w:p>
      <w:pPr>
        <w:pBdr/>
        <w:spacing w:after="0" w:line="240" w:lineRule="auto"/>
        <w:ind w:right="-141"/>
        <w:jc w:val="center"/>
        <w:rPr>
          <w:rFonts w:ascii="Times New Roman" w:hAnsi="Times New Roman" w:eastAsia="Batang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Batang"/>
          <w:b/>
          <w:color w:val="000000"/>
          <w:sz w:val="36"/>
          <w:szCs w:val="36"/>
          <w:lang w:eastAsia="ru-RU"/>
        </w:rPr>
        <w:t xml:space="preserve">організації харчування дітей у закладах </w:t>
      </w:r>
      <w:r>
        <w:rPr>
          <w:rFonts w:ascii="Times New Roman" w:hAnsi="Times New Roman" w:eastAsia="Batang"/>
          <w:b/>
          <w:color w:val="000000"/>
          <w:sz w:val="36"/>
          <w:szCs w:val="36"/>
          <w:lang w:eastAsia="ru-RU"/>
        </w:rPr>
      </w:r>
      <w:r>
        <w:rPr>
          <w:rFonts w:ascii="Times New Roman" w:hAnsi="Times New Roman" w:eastAsia="Batang"/>
          <w:b/>
          <w:color w:val="000000"/>
          <w:sz w:val="36"/>
          <w:szCs w:val="36"/>
          <w:lang w:eastAsia="ru-RU"/>
        </w:rPr>
      </w:r>
    </w:p>
    <w:p>
      <w:pPr>
        <w:pBdr/>
        <w:spacing w:after="0" w:line="240" w:lineRule="auto"/>
        <w:ind w:right="-141"/>
        <w:jc w:val="center"/>
        <w:rPr>
          <w:rFonts w:ascii="Times New Roman" w:hAnsi="Times New Roman" w:eastAsia="Batang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Batang"/>
          <w:b/>
          <w:color w:val="000000"/>
          <w:sz w:val="36"/>
          <w:szCs w:val="36"/>
          <w:lang w:eastAsia="ru-RU"/>
        </w:rPr>
        <w:t xml:space="preserve">загальної середньої освіти </w:t>
      </w:r>
      <w:r>
        <w:rPr>
          <w:rFonts w:ascii="Times New Roman" w:hAnsi="Times New Roman" w:eastAsia="Batang"/>
          <w:b/>
          <w:color w:val="000000"/>
          <w:sz w:val="36"/>
          <w:szCs w:val="36"/>
          <w:lang w:eastAsia="ru-RU"/>
        </w:rPr>
      </w:r>
      <w:r>
        <w:rPr>
          <w:rFonts w:ascii="Times New Roman" w:hAnsi="Times New Roman" w:eastAsia="Batang"/>
          <w:b/>
          <w:color w:val="000000"/>
          <w:sz w:val="36"/>
          <w:szCs w:val="36"/>
          <w:lang w:eastAsia="ru-RU"/>
        </w:rPr>
      </w:r>
    </w:p>
    <w:p>
      <w:pPr>
        <w:pBdr/>
        <w:spacing w:after="0" w:line="240" w:lineRule="auto"/>
        <w:ind w:right="-141"/>
        <w:jc w:val="center"/>
        <w:rPr>
          <w:rFonts w:ascii="Times New Roman" w:hAnsi="Times New Roman" w:eastAsia="Batang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Batang"/>
          <w:b/>
          <w:color w:val="000000"/>
          <w:sz w:val="36"/>
          <w:szCs w:val="36"/>
          <w:lang w:eastAsia="ru-RU"/>
        </w:rPr>
        <w:t xml:space="preserve">Менської міської ради </w:t>
      </w:r>
      <w:r>
        <w:rPr>
          <w:rFonts w:ascii="Times New Roman" w:hAnsi="Times New Roman" w:eastAsia="Batang"/>
          <w:b/>
          <w:color w:val="000000"/>
          <w:sz w:val="36"/>
          <w:szCs w:val="36"/>
          <w:lang w:eastAsia="ru-RU"/>
        </w:rPr>
      </w:r>
      <w:r>
        <w:rPr>
          <w:rFonts w:ascii="Times New Roman" w:hAnsi="Times New Roman" w:eastAsia="Batang"/>
          <w:b/>
          <w:color w:val="000000"/>
          <w:sz w:val="36"/>
          <w:szCs w:val="36"/>
          <w:lang w:eastAsia="ru-RU"/>
        </w:rPr>
      </w:r>
    </w:p>
    <w:p>
      <w:pPr>
        <w:pBdr/>
        <w:spacing w:after="0" w:line="240" w:lineRule="auto"/>
        <w:ind w:right="-141"/>
        <w:jc w:val="center"/>
        <w:rPr>
          <w:rFonts w:ascii="Times New Roman" w:hAnsi="Times New Roman" w:eastAsia="Batang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Batang"/>
          <w:b/>
          <w:color w:val="000000"/>
          <w:sz w:val="36"/>
          <w:szCs w:val="36"/>
          <w:lang w:eastAsia="ru-RU"/>
        </w:rPr>
        <w:t xml:space="preserve">на 2025-2027 роки</w:t>
      </w:r>
      <w:r>
        <w:rPr>
          <w:rFonts w:ascii="Times New Roman" w:hAnsi="Times New Roman" w:eastAsia="Batang"/>
          <w:b/>
          <w:color w:val="000000"/>
          <w:sz w:val="36"/>
          <w:szCs w:val="36"/>
          <w:lang w:eastAsia="ru-RU"/>
        </w:rPr>
      </w:r>
      <w:r>
        <w:rPr>
          <w:rFonts w:ascii="Times New Roman" w:hAnsi="Times New Roman" w:eastAsia="Batang"/>
          <w:b/>
          <w:color w:val="000000"/>
          <w:sz w:val="36"/>
          <w:szCs w:val="36"/>
          <w:lang w:eastAsia="ru-RU"/>
        </w:rPr>
      </w:r>
    </w:p>
    <w:p>
      <w:pPr>
        <w:pBdr/>
        <w:spacing w:after="0" w:line="240" w:lineRule="auto"/>
        <w:ind w:right="-141"/>
        <w:rPr>
          <w:rFonts w:ascii="Times New Roman" w:hAnsi="Times New Roman" w:eastAsia="Batang"/>
          <w:b/>
          <w:sz w:val="28"/>
          <w:szCs w:val="20"/>
          <w:lang w:eastAsia="ru-RU"/>
        </w:rPr>
      </w:pP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</w:p>
    <w:p>
      <w:pPr>
        <w:pBdr/>
        <w:spacing w:after="0" w:line="240" w:lineRule="auto"/>
        <w:ind w:right="-141"/>
        <w:rPr>
          <w:rFonts w:ascii="Times New Roman" w:hAnsi="Times New Roman" w:eastAsia="Batang"/>
          <w:b/>
          <w:sz w:val="28"/>
          <w:szCs w:val="20"/>
          <w:lang w:eastAsia="ru-RU"/>
        </w:rPr>
      </w:pP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</w:p>
    <w:p>
      <w:pPr>
        <w:pBdr/>
        <w:spacing w:after="0" w:line="240" w:lineRule="auto"/>
        <w:ind w:right="-141"/>
        <w:rPr>
          <w:rFonts w:ascii="Times New Roman" w:hAnsi="Times New Roman" w:eastAsia="Batang"/>
          <w:b/>
          <w:sz w:val="28"/>
          <w:szCs w:val="20"/>
          <w:lang w:eastAsia="ru-RU"/>
        </w:rPr>
      </w:pP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</w:p>
    <w:p>
      <w:pPr>
        <w:pBdr/>
        <w:spacing w:after="0" w:line="240" w:lineRule="auto"/>
        <w:ind w:right="-141"/>
        <w:rPr>
          <w:rFonts w:ascii="Times New Roman" w:hAnsi="Times New Roman" w:eastAsia="Batang"/>
          <w:b/>
          <w:sz w:val="28"/>
          <w:szCs w:val="20"/>
          <w:lang w:eastAsia="ru-RU"/>
        </w:rPr>
      </w:pP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</w:p>
    <w:p>
      <w:pPr>
        <w:pBdr/>
        <w:spacing w:after="0" w:line="240" w:lineRule="auto"/>
        <w:ind w:right="-141"/>
        <w:rPr>
          <w:rFonts w:ascii="Times New Roman" w:hAnsi="Times New Roman" w:eastAsia="Batang"/>
          <w:b/>
          <w:sz w:val="28"/>
          <w:szCs w:val="20"/>
          <w:lang w:eastAsia="ru-RU"/>
        </w:rPr>
      </w:pP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</w:p>
    <w:p>
      <w:pPr>
        <w:pBdr/>
        <w:spacing w:after="0" w:line="240" w:lineRule="auto"/>
        <w:ind w:right="-141"/>
        <w:rPr>
          <w:rFonts w:ascii="Times New Roman" w:hAnsi="Times New Roman" w:eastAsia="Batang"/>
          <w:b/>
          <w:sz w:val="28"/>
          <w:szCs w:val="20"/>
          <w:lang w:eastAsia="ru-RU"/>
        </w:rPr>
      </w:pP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</w:p>
    <w:p>
      <w:pPr>
        <w:pBdr/>
        <w:spacing w:after="0" w:line="240" w:lineRule="auto"/>
        <w:ind w:right="-141"/>
        <w:rPr>
          <w:rFonts w:ascii="Times New Roman" w:hAnsi="Times New Roman" w:eastAsia="Batang"/>
          <w:b/>
          <w:sz w:val="28"/>
          <w:szCs w:val="20"/>
          <w:lang w:eastAsia="ru-RU"/>
        </w:rPr>
      </w:pP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</w:p>
    <w:p>
      <w:pPr>
        <w:pBdr/>
        <w:spacing w:after="0" w:line="240" w:lineRule="auto"/>
        <w:ind w:right="-141"/>
        <w:rPr>
          <w:rFonts w:ascii="Times New Roman" w:hAnsi="Times New Roman" w:eastAsia="Batang"/>
          <w:b/>
          <w:sz w:val="28"/>
          <w:szCs w:val="20"/>
          <w:lang w:eastAsia="ru-RU"/>
        </w:rPr>
      </w:pP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</w:p>
    <w:p>
      <w:pPr>
        <w:pBdr/>
        <w:spacing w:after="0" w:line="240" w:lineRule="auto"/>
        <w:ind w:right="-141"/>
        <w:rPr>
          <w:rFonts w:ascii="Times New Roman" w:hAnsi="Times New Roman" w:eastAsia="Batang"/>
          <w:b/>
          <w:sz w:val="28"/>
          <w:szCs w:val="20"/>
          <w:lang w:eastAsia="ru-RU"/>
        </w:rPr>
      </w:pP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</w:p>
    <w:p>
      <w:pPr>
        <w:pBdr/>
        <w:spacing w:after="0" w:line="240" w:lineRule="auto"/>
        <w:ind w:right="-141"/>
        <w:rPr>
          <w:rFonts w:ascii="Times New Roman" w:hAnsi="Times New Roman" w:eastAsia="Batang"/>
          <w:b/>
          <w:sz w:val="28"/>
          <w:szCs w:val="20"/>
          <w:lang w:eastAsia="ru-RU"/>
        </w:rPr>
      </w:pP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</w:p>
    <w:p>
      <w:pPr>
        <w:pBdr/>
        <w:spacing w:after="0" w:line="240" w:lineRule="auto"/>
        <w:ind w:right="-141"/>
        <w:rPr>
          <w:rFonts w:ascii="Times New Roman" w:hAnsi="Times New Roman" w:eastAsia="Batang"/>
          <w:b/>
          <w:sz w:val="28"/>
          <w:szCs w:val="20"/>
          <w:lang w:eastAsia="ru-RU"/>
        </w:rPr>
      </w:pP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</w:p>
    <w:p>
      <w:pPr>
        <w:pBdr/>
        <w:spacing w:after="0" w:line="240" w:lineRule="auto"/>
        <w:ind w:right="-141"/>
        <w:rPr>
          <w:rFonts w:ascii="Times New Roman" w:hAnsi="Times New Roman" w:eastAsia="Batang"/>
          <w:b/>
          <w:sz w:val="28"/>
          <w:szCs w:val="20"/>
          <w:lang w:eastAsia="ru-RU"/>
        </w:rPr>
      </w:pP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</w:p>
    <w:p>
      <w:pPr>
        <w:pBdr/>
        <w:spacing w:after="0" w:line="240" w:lineRule="auto"/>
        <w:ind w:right="-141"/>
        <w:rPr>
          <w:rFonts w:ascii="Times New Roman" w:hAnsi="Times New Roman" w:eastAsia="Batang"/>
          <w:b/>
          <w:sz w:val="28"/>
          <w:szCs w:val="20"/>
          <w:lang w:eastAsia="ru-RU"/>
        </w:rPr>
      </w:pP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</w:p>
    <w:p>
      <w:pPr>
        <w:pBdr/>
        <w:spacing w:after="0" w:line="240" w:lineRule="auto"/>
        <w:ind w:right="-141"/>
        <w:rPr>
          <w:rFonts w:ascii="Times New Roman" w:hAnsi="Times New Roman" w:eastAsia="Batang"/>
          <w:b/>
          <w:sz w:val="28"/>
          <w:szCs w:val="20"/>
          <w:lang w:eastAsia="ru-RU"/>
        </w:rPr>
      </w:pP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</w:p>
    <w:p>
      <w:pPr>
        <w:pBdr/>
        <w:spacing w:after="0" w:line="240" w:lineRule="auto"/>
        <w:ind w:right="-141"/>
        <w:rPr>
          <w:rFonts w:ascii="Times New Roman" w:hAnsi="Times New Roman" w:eastAsia="Batang"/>
          <w:b/>
          <w:sz w:val="28"/>
          <w:szCs w:val="20"/>
          <w:lang w:eastAsia="ru-RU"/>
        </w:rPr>
      </w:pP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</w:p>
    <w:p>
      <w:pPr>
        <w:pBdr/>
        <w:spacing w:after="0" w:line="240" w:lineRule="auto"/>
        <w:ind w:right="-141"/>
        <w:rPr>
          <w:rFonts w:ascii="Times New Roman" w:hAnsi="Times New Roman" w:eastAsia="Batang"/>
          <w:b/>
          <w:sz w:val="28"/>
          <w:szCs w:val="20"/>
          <w:lang w:eastAsia="ru-RU"/>
        </w:rPr>
      </w:pP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</w:p>
    <w:p>
      <w:pPr>
        <w:pBdr/>
        <w:spacing w:after="0" w:line="240" w:lineRule="auto"/>
        <w:ind w:right="-141"/>
        <w:rPr>
          <w:rFonts w:ascii="Times New Roman" w:hAnsi="Times New Roman" w:eastAsia="Batang"/>
          <w:b/>
          <w:sz w:val="28"/>
          <w:szCs w:val="20"/>
          <w:lang w:eastAsia="ru-RU"/>
        </w:rPr>
      </w:pP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  <w:r>
        <w:rPr>
          <w:rFonts w:ascii="Times New Roman" w:hAnsi="Times New Roman" w:eastAsia="Batang"/>
          <w:b/>
          <w:sz w:val="28"/>
          <w:szCs w:val="20"/>
          <w:lang w:eastAsia="ru-RU"/>
        </w:rPr>
      </w:r>
    </w:p>
    <w:p>
      <w:pPr>
        <w:pBdr/>
        <w:spacing w:after="0" w:line="240" w:lineRule="auto"/>
        <w:ind w:right="-141"/>
        <w:jc w:val="center"/>
        <w:rPr>
          <w:rFonts w:ascii="Times New Roman" w:hAnsi="Times New Roman" w:eastAsia="Batang"/>
          <w:sz w:val="28"/>
          <w:szCs w:val="28"/>
          <w:lang w:eastAsia="ru-RU"/>
        </w:rPr>
      </w:pPr>
      <w:r>
        <w:rPr>
          <w:rFonts w:ascii="Times New Roman" w:hAnsi="Times New Roman" w:eastAsia="Batang"/>
          <w:sz w:val="28"/>
          <w:szCs w:val="28"/>
          <w:lang w:eastAsia="ru-RU"/>
        </w:rPr>
        <w:t xml:space="preserve">м.Мена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Batang"/>
          <w:sz w:val="28"/>
          <w:szCs w:val="28"/>
          <w:lang w:eastAsia="ru-RU"/>
        </w:rPr>
      </w:r>
      <w:r>
        <w:rPr>
          <w:rFonts w:ascii="Times New Roman" w:hAnsi="Times New Roman" w:eastAsia="Batang"/>
          <w:sz w:val="28"/>
          <w:szCs w:val="28"/>
          <w:lang w:eastAsia="ru-RU"/>
        </w:rPr>
      </w:r>
    </w:p>
    <w:p>
      <w:pPr>
        <w:pBdr/>
        <w:spacing w:after="0" w:line="240" w:lineRule="auto"/>
        <w:ind w:right="-141"/>
        <w:jc w:val="center"/>
        <w:rPr>
          <w:rFonts w:ascii="Times New Roman" w:hAnsi="Times New Roman" w:eastAsia="Batang"/>
          <w:sz w:val="28"/>
          <w:szCs w:val="28"/>
          <w:lang w:eastAsia="ru-RU"/>
        </w:rPr>
      </w:pPr>
      <w:r>
        <w:rPr>
          <w:rFonts w:ascii="Times New Roman" w:hAnsi="Times New Roman" w:eastAsia="Batang"/>
          <w:sz w:val="28"/>
          <w:szCs w:val="28"/>
          <w:lang w:eastAsia="ru-RU"/>
        </w:rPr>
        <w:t xml:space="preserve">2024 р.</w:t>
      </w:r>
      <w:r>
        <w:rPr>
          <w:rFonts w:ascii="Times New Roman" w:hAnsi="Times New Roman" w:eastAsia="Batang"/>
          <w:sz w:val="28"/>
          <w:szCs w:val="28"/>
          <w:lang w:eastAsia="ru-RU"/>
        </w:rPr>
      </w:r>
      <w:r>
        <w:rPr>
          <w:rFonts w:ascii="Times New Roman" w:hAnsi="Times New Roman" w:eastAsia="Batang"/>
          <w:sz w:val="28"/>
          <w:szCs w:val="28"/>
          <w:lang w:eastAsia="ru-RU"/>
        </w:rPr>
      </w:r>
    </w:p>
    <w:p>
      <w:pPr>
        <w:pStyle w:val="927"/>
        <w:numPr>
          <w:ilvl w:val="0"/>
          <w:numId w:val="11"/>
        </w:numPr>
        <w:pBdr/>
        <w:spacing w:after="0" w:line="240" w:lineRule="auto"/>
        <w:ind w:right="-141"/>
        <w:jc w:val="center"/>
        <w:rPr>
          <w:rFonts w:ascii="Times New Roman" w:hAnsi="Times New Roman" w:eastAsia="Batang"/>
          <w:b/>
          <w:sz w:val="28"/>
          <w:szCs w:val="28"/>
          <w:lang w:eastAsia="ru-RU"/>
        </w:rPr>
      </w:pPr>
      <w:r>
        <w:rPr>
          <w:rFonts w:ascii="Times New Roman" w:hAnsi="Times New Roman" w:eastAsia="Batang"/>
          <w:b/>
          <w:sz w:val="28"/>
          <w:szCs w:val="28"/>
          <w:lang w:eastAsia="ru-RU"/>
        </w:rPr>
        <w:br w:type="page" w:clear="all"/>
      </w:r>
      <w:r>
        <w:rPr>
          <w:rFonts w:ascii="Times New Roman" w:hAnsi="Times New Roman" w:eastAsia="Batang"/>
          <w:b/>
          <w:sz w:val="28"/>
          <w:szCs w:val="28"/>
          <w:lang w:eastAsia="ru-RU"/>
        </w:rPr>
        <w:t xml:space="preserve">Паспорт</w:t>
      </w:r>
      <w:r>
        <w:rPr>
          <w:rFonts w:ascii="Times New Roman" w:hAnsi="Times New Roman" w:eastAsia="Batang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Batang"/>
          <w:b/>
          <w:sz w:val="28"/>
          <w:szCs w:val="28"/>
          <w:lang w:eastAsia="ru-RU"/>
        </w:rPr>
        <w:t xml:space="preserve">Програми </w:t>
      </w:r>
      <w:r>
        <w:rPr>
          <w:rFonts w:ascii="Times New Roman" w:hAnsi="Times New Roman" w:eastAsia="Batang"/>
          <w:b/>
          <w:sz w:val="28"/>
          <w:szCs w:val="28"/>
          <w:lang w:eastAsia="ru-RU"/>
        </w:rPr>
      </w:r>
      <w:r>
        <w:rPr>
          <w:rFonts w:ascii="Times New Roman" w:hAnsi="Times New Roman" w:eastAsia="Batang"/>
          <w:b/>
          <w:sz w:val="28"/>
          <w:szCs w:val="28"/>
          <w:lang w:eastAsia="ru-RU"/>
        </w:rPr>
      </w:r>
    </w:p>
    <w:p>
      <w:pPr>
        <w:pStyle w:val="927"/>
        <w:pBdr/>
        <w:spacing w:after="0" w:line="240" w:lineRule="auto"/>
        <w:ind w:right="-141"/>
        <w:rPr>
          <w:rFonts w:ascii="Times New Roman" w:hAnsi="Times New Roman" w:eastAsia="Batang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Batang"/>
          <w:b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Batang"/>
          <w:b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Batang"/>
          <w:b/>
          <w:color w:val="000000"/>
          <w:sz w:val="28"/>
          <w:szCs w:val="28"/>
          <w:lang w:eastAsia="ru-RU"/>
        </w:rPr>
      </w:r>
    </w:p>
    <w:tbl>
      <w:tblPr>
        <w:tblW w:w="99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28"/>
        <w:gridCol w:w="1842"/>
        <w:gridCol w:w="1843"/>
        <w:gridCol w:w="1829"/>
      </w:tblGrid>
      <w:tr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 w:left="-25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Назва Програми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1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Програма організації харчування у закладах загальної середньої освіти Менської міської ради на 2025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-2027 роки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 w:left="-25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Ініціатор розроблення Програми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1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Відділ освіти Менської міської ради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jc w:val="center"/>
          <w:trHeight w:val="38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 w:left="-25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Підстави для розробки Програми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14" w:type="dxa"/>
            <w:textDirection w:val="lrTb"/>
            <w:noWrap w:val="false"/>
          </w:tcPr>
          <w:p>
            <w:pPr>
              <w:pStyle w:val="928"/>
              <w:pBdr/>
              <w:shd w:val="clear" w:color="auto" w:fill="ffffff"/>
              <w:spacing w:after="0" w:afterAutospacing="0" w:before="0" w:beforeAutospacing="0"/>
              <w:ind/>
              <w:rPr>
                <w:rFonts w:eastAsia="Batang"/>
                <w:sz w:val="28"/>
                <w:szCs w:val="28"/>
                <w:lang w:eastAsia="ru-RU"/>
              </w:rPr>
            </w:pPr>
            <w:r>
              <w:rPr>
                <w:rFonts w:eastAsia="Batang"/>
                <w:sz w:val="28"/>
                <w:szCs w:val="28"/>
                <w:lang w:eastAsia="ru-RU"/>
              </w:rPr>
              <w:t xml:space="preserve">Закони України «Про освіту», «Про повну загальну середню освіту», «Про охорону дитинства», </w:t>
            </w:r>
            <w:r>
              <w:rPr>
                <w:sz w:val="28"/>
                <w:szCs w:val="28"/>
                <w:lang w:eastAsia="ru-RU"/>
              </w:rPr>
              <w:t xml:space="preserve">«</w:t>
            </w:r>
            <w:r>
              <w:rPr>
                <w:bCs/>
                <w:sz w:val="28"/>
                <w:szCs w:val="28"/>
                <w:shd w:val="clear" w:color="auto" w:fill="ffffff"/>
              </w:rPr>
              <w:t xml:space="preserve">Про державну соціальну допомогу малозабезпеченим сім’ям»,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rFonts w:eastAsia="Batang"/>
                <w:color w:val="000000" w:themeColor="text1"/>
                <w:sz w:val="28"/>
                <w:szCs w:val="28"/>
                <w:lang w:eastAsia="ru-RU"/>
              </w:rPr>
              <w:t xml:space="preserve">«</w:t>
            </w:r>
            <w:r>
              <w:rPr>
                <w:color w:val="000000" w:themeColor="text1"/>
                <w:sz w:val="28"/>
                <w:szCs w:val="28"/>
              </w:rPr>
              <w:t xml:space="preserve">Про статус і соціальний захист громадян, які постраждали внаслідок Чорнобильської катастрофи</w:t>
            </w:r>
            <w:r>
              <w:rPr>
                <w:rFonts w:eastAsia="Batang"/>
                <w:color w:val="000000" w:themeColor="text1"/>
                <w:sz w:val="28"/>
                <w:szCs w:val="28"/>
                <w:lang w:eastAsia="ru-RU"/>
              </w:rPr>
              <w:t xml:space="preserve">»</w:t>
            </w:r>
            <w:r>
              <w:rPr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eastAsia="Batang"/>
                <w:color w:val="000000" w:themeColor="text1"/>
                <w:sz w:val="28"/>
                <w:szCs w:val="28"/>
                <w:lang w:eastAsia="ru-RU"/>
              </w:rPr>
              <w:t xml:space="preserve">«</w:t>
            </w:r>
            <w:r>
              <w:rPr>
                <w:color w:val="000000" w:themeColor="text1"/>
                <w:sz w:val="28"/>
                <w:szCs w:val="28"/>
              </w:rPr>
              <w:t xml:space="preserve">Про статус ветеранів війни, гарантії їх соціального захисту</w:t>
            </w:r>
            <w:r>
              <w:rPr>
                <w:rFonts w:eastAsia="Batang"/>
                <w:color w:val="000000" w:themeColor="text1"/>
                <w:sz w:val="28"/>
                <w:szCs w:val="28"/>
                <w:lang w:eastAsia="ru-RU"/>
              </w:rPr>
              <w:t xml:space="preserve">»</w:t>
            </w:r>
            <w:r>
              <w:rPr>
                <w:color w:val="000000" w:themeColor="text1"/>
                <w:sz w:val="28"/>
                <w:szCs w:val="28"/>
              </w:rPr>
              <w:t xml:space="preserve">,</w:t>
            </w:r>
            <w:r>
              <w:rPr>
                <w:rFonts w:eastAsia="Batang"/>
                <w:color w:val="7b7b7b" w:themeColor="accent3" w:themeShade="B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Batang"/>
                <w:sz w:val="28"/>
                <w:szCs w:val="28"/>
                <w:lang w:eastAsia="ru-RU"/>
              </w:rPr>
              <w:t xml:space="preserve">«Про внесення змін до деяких Законів Ук</w:t>
            </w:r>
            <w:r>
              <w:rPr>
                <w:rFonts w:eastAsia="Batang"/>
                <w:sz w:val="28"/>
                <w:szCs w:val="28"/>
                <w:lang w:eastAsia="ru-RU"/>
              </w:rPr>
              <w:t xml:space="preserve">раїни щодо забезпечення безкоштовним харчуванням дітей внутрішньо переміщених осіб» від 16.01.2020 №474-І</w:t>
            </w:r>
            <w:r>
              <w:rPr>
                <w:rFonts w:eastAsia="Batang"/>
                <w:sz w:val="28"/>
                <w:szCs w:val="28"/>
                <w:lang w:val="en-US" w:eastAsia="ru-RU"/>
              </w:rPr>
              <w:t xml:space="preserve">X</w:t>
            </w:r>
            <w:r>
              <w:rPr>
                <w:rFonts w:eastAsia="Batang"/>
                <w:sz w:val="28"/>
                <w:szCs w:val="28"/>
                <w:lang w:eastAsia="ru-RU"/>
              </w:rPr>
              <w:t xml:space="preserve">, «Про внесення змін до деяких законів України щодо забезпечення безкоштовним харчуванням дітей, один з батьків яких загинув (пропав безвісти), помер </w:t>
            </w:r>
            <w:r>
              <w:rPr>
                <w:rFonts w:eastAsia="Batang"/>
                <w:sz w:val="28"/>
                <w:szCs w:val="28"/>
                <w:lang w:eastAsia="ru-RU"/>
              </w:rPr>
              <w:t xml:space="preserve">під час захисту незалежності та суверенітету України» від 05.11.2020 №978-І</w:t>
            </w:r>
            <w:r>
              <w:rPr>
                <w:rFonts w:eastAsia="Batang"/>
                <w:sz w:val="28"/>
                <w:szCs w:val="28"/>
                <w:lang w:val="en-US" w:eastAsia="ru-RU"/>
              </w:rPr>
              <w:t xml:space="preserve">X</w:t>
            </w:r>
            <w:r>
              <w:rPr>
                <w:rFonts w:eastAsia="Batang"/>
                <w:sz w:val="28"/>
                <w:szCs w:val="28"/>
                <w:lang w:eastAsia="ru-RU"/>
              </w:rPr>
              <w:t xml:space="preserve">, «Про оздоровлення та відпочинок дітей», «Про охорону дитинства», «Про забезпечення санітарного та епідемічного благополуччя населення»,  «Про місцеве самоврядування в </w:t>
            </w:r>
            <w:r>
              <w:rPr>
                <w:rFonts w:eastAsia="Batang"/>
                <w:color w:val="000000" w:themeColor="text1"/>
                <w:sz w:val="28"/>
                <w:szCs w:val="28"/>
                <w:lang w:eastAsia="ru-RU"/>
              </w:rPr>
              <w:t xml:space="preserve">Україні</w:t>
            </w:r>
            <w:r>
              <w:rPr>
                <w:rFonts w:eastAsia="Batang"/>
                <w:sz w:val="28"/>
                <w:szCs w:val="28"/>
                <w:lang w:eastAsia="ru-RU"/>
              </w:rPr>
              <w:t xml:space="preserve">»</w:t>
            </w:r>
            <w:r>
              <w:rPr>
                <w:rFonts w:eastAsia="Batang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eastAsia="Batang"/>
                <w:color w:val="7b7b7b" w:themeColor="accent3" w:themeShade="BF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eastAsia="Batang"/>
                <w:color w:val="7b7b7b" w:themeColor="accent3" w:themeShade="BF"/>
                <w:sz w:val="28"/>
                <w:szCs w:val="28"/>
                <w:shd w:val="clear" w:color="auto" w:fill="ffffff"/>
                <w:lang w:eastAsia="ru-RU"/>
              </w:rPr>
              <w:t xml:space="preserve">п</w:t>
            </w:r>
            <w:r>
              <w:rPr>
                <w:rFonts w:eastAsia="Batang"/>
                <w:color w:val="000000" w:themeColor="text1"/>
                <w:sz w:val="28"/>
                <w:szCs w:val="28"/>
                <w:lang w:eastAsia="ru-RU"/>
              </w:rPr>
              <w:t xml:space="preserve">останови Кабінету Міністрів України від 02.02.2011 №116 «Про затвердження Порядку надання послуг з харчування дітей у дошкільних, учнів у загальноосвітніх та </w:t>
            </w:r>
            <w:r>
              <w:rPr>
                <w:rFonts w:eastAsia="Batang"/>
                <w:color w:val="000000" w:themeColor="text1"/>
                <w:sz w:val="28"/>
                <w:szCs w:val="28"/>
                <w:lang w:eastAsia="ru-RU"/>
              </w:rPr>
              <w:t xml:space="preserve">професійно</w:t>
            </w:r>
            <w:r>
              <w:rPr>
                <w:rFonts w:eastAsia="Batang"/>
                <w:color w:val="000000" w:themeColor="text1"/>
                <w:sz w:val="28"/>
                <w:szCs w:val="28"/>
                <w:lang w:eastAsia="ru-RU"/>
              </w:rPr>
              <w:t xml:space="preserve"> – технічних навчальних закладах, операції з надання яких звільняються від обкладення п</w:t>
            </w:r>
            <w:r>
              <w:rPr>
                <w:rFonts w:eastAsia="Batang"/>
                <w:color w:val="000000" w:themeColor="text1"/>
                <w:sz w:val="28"/>
                <w:szCs w:val="28"/>
                <w:lang w:eastAsia="ru-RU"/>
              </w:rPr>
              <w:t xml:space="preserve">одатком на додану вартість», від </w:t>
            </w:r>
            <w:r>
              <w:rPr>
                <w:sz w:val="28"/>
                <w:szCs w:val="28"/>
              </w:rPr>
              <w:t xml:space="preserve"> 24.03.2021  №305 «Про затвердження норм та Порядку організації харчування у закладах освіти та дитячих закладах оздоровлення та відпочинку» (зі змінами)</w:t>
            </w:r>
            <w:r>
              <w:rPr>
                <w:rFonts w:eastAsia="Batang"/>
                <w:sz w:val="28"/>
                <w:szCs w:val="28"/>
                <w:lang w:eastAsia="ru-RU"/>
              </w:rPr>
              <w:t xml:space="preserve">, від 18.01.2016  </w:t>
            </w:r>
            <w:r>
              <w:rPr>
                <w:rFonts w:eastAsia="Batang"/>
                <w:sz w:val="28"/>
                <w:szCs w:val="28"/>
                <w:lang w:eastAsia="ru-RU"/>
              </w:rPr>
              <w:t xml:space="preserve">№16 «Про внесення змін до Порядку надання послуг з х</w:t>
            </w:r>
            <w:r>
              <w:rPr>
                <w:rFonts w:eastAsia="Batang"/>
                <w:sz w:val="28"/>
                <w:szCs w:val="28"/>
                <w:lang w:eastAsia="ru-RU"/>
              </w:rPr>
              <w:t xml:space="preserve">арчування дітей у дошкільних, учнів у загальноосвітніх та професійно-технічних закладах, операції з надання яких звільняються від обкладення податком на додану вартість», від 04,.10. 2024  №1145 «Деякі питання надання субвенції з державного бюджету місцеви</w:t>
            </w:r>
            <w:r>
              <w:rPr>
                <w:rFonts w:eastAsia="Batang"/>
                <w:sz w:val="28"/>
                <w:szCs w:val="28"/>
                <w:lang w:eastAsia="ru-RU"/>
              </w:rPr>
              <w:t xml:space="preserve">м бюджетам на забезпечення харчуванням учнів початкових класів закладів загальної середньої освіти у 2024 році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»</w:t>
            </w:r>
            <w:r>
              <w:rPr>
                <w:rFonts w:eastAsia="Batang"/>
                <w:sz w:val="28"/>
                <w:szCs w:val="28"/>
                <w:lang w:eastAsia="ru-RU"/>
              </w:rPr>
            </w:r>
            <w:r>
              <w:rPr>
                <w:rFonts w:eastAsia="Batang"/>
                <w:sz w:val="28"/>
                <w:szCs w:val="28"/>
                <w:lang w:eastAsia="ru-RU"/>
              </w:rPr>
            </w:r>
          </w:p>
        </w:tc>
      </w:tr>
      <w:tr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 w:left="-25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Розробник Програми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1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Відділ освіти Менської міської ради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 w:left="-25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Відповідальний виконавець програми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1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Відділ освіти Менської міської ради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jc w:val="center"/>
          <w:trHeight w:val="27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 w:left="-25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Учасники Програми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1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Відділ освіти Менської міської ради, заклади загальної середньої освіти, фінансове управління Менської міської ради, Комунальна установа «Центр з обслуговування освітніх установ та закладів освіти»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jc w:val="center"/>
          <w:trHeight w:val="84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 w:left="-25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7.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Дія Програми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1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Batang"/>
                <w:sz w:val="28"/>
                <w:szCs w:val="28"/>
                <w:lang w:eastAsia="ru-RU"/>
              </w:rPr>
              <w:t xml:space="preserve">Дія Програми поширюється на територію населених пунктів, які увійшли до складу Менської міської територіальної громади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jc w:val="center"/>
          <w:trHeight w:val="37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 w:left="-25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8.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Строк реалізації Програми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1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2025-2027 роки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jc w:val="center"/>
          <w:trHeight w:val="37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 w:left="-25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9.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Джерела фінансування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1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Бюджет Менської міської територіальної громади, інші джерела фінансування, не заборонені законодавством України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jc w:val="center"/>
          <w:trHeight w:val="37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 w:left="-25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10.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Обсяги фінансування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1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Обсяг коштів визначається рішенням сесії міської ради на відповідний рік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 w:left="-25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11.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Загальний орієнтовний обсяг фінансових ресурсів, необхідних для реалізації Програми на 2025-2027 роки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2025 рік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right="-14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(грн)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2026 рік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right="-14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(грн)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29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2027 рік (грн)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16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 w:left="-25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11.1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Загальний орієнтовний обсяг фінансових ресурсів, необхідних для реалізації Програми, всього: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Bdr/>
              <w:spacing w:after="0" w:line="240" w:lineRule="auto"/>
              <w:ind w:righ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 тому чи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слі: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14 672 725,00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14 739 735,00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29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15 318 045,00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>
          <w:jc w:val="center"/>
          <w:trHeight w:val="65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 w:left="-25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11.2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кошти бюджету Менської міської ТГ, інші джерела, не заборонені законодавством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14 272 725,00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14 289 735,00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29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14 818 045,00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>
          <w:jc w:val="center"/>
          <w:trHeight w:val="25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 w:left="-25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11.3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кошти спеціального фонду (плата за послуги, що надаються бюджетними установами згідно з їх основною діяльністю, спонсорські кошти, надходження благодійних внесків від батьків в натуральній формі, інші джерела коштів, не заборонених законодавством)*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400 000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,00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450 000,00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29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4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500 000,00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</w:tbl>
    <w:p>
      <w:pPr>
        <w:pBdr/>
        <w:spacing w:after="0" w:line="240" w:lineRule="auto"/>
        <w:ind w:right="-141"/>
        <w:jc w:val="both"/>
        <w:rPr>
          <w:rFonts w:ascii="Times New Roman" w:hAnsi="Times New Roman" w:eastAsia="Batang"/>
          <w:sz w:val="28"/>
          <w:szCs w:val="28"/>
          <w:lang w:eastAsia="ru-RU"/>
        </w:rPr>
      </w:pPr>
      <w:r>
        <w:rPr>
          <w:rFonts w:ascii="Times New Roman" w:hAnsi="Times New Roman" w:eastAsia="Batang"/>
          <w:sz w:val="28"/>
          <w:szCs w:val="28"/>
          <w:lang w:eastAsia="ru-RU"/>
        </w:rPr>
      </w:r>
      <w:r>
        <w:rPr>
          <w:rFonts w:ascii="Times New Roman" w:hAnsi="Times New Roman" w:eastAsia="Batang"/>
          <w:sz w:val="28"/>
          <w:szCs w:val="28"/>
          <w:lang w:eastAsia="ru-RU"/>
        </w:rPr>
      </w:r>
      <w:r>
        <w:rPr>
          <w:rFonts w:ascii="Times New Roman" w:hAnsi="Times New Roman" w:eastAsia="Batang"/>
          <w:sz w:val="28"/>
          <w:szCs w:val="28"/>
          <w:lang w:eastAsia="ru-RU"/>
        </w:rPr>
      </w:r>
    </w:p>
    <w:p>
      <w:pPr>
        <w:pStyle w:val="927"/>
        <w:pBdr/>
        <w:spacing w:after="0" w:line="240" w:lineRule="auto"/>
        <w:ind w:right="-141" w:left="0"/>
        <w:rPr>
          <w:rFonts w:ascii="Times New Roman" w:hAnsi="Times New Roman" w:eastAsia="Batang"/>
          <w:sz w:val="20"/>
          <w:szCs w:val="20"/>
          <w:lang w:eastAsia="ru-RU"/>
        </w:rPr>
      </w:pPr>
      <w:r>
        <w:rPr>
          <w:rFonts w:ascii="Times New Roman" w:hAnsi="Times New Roman" w:eastAsia="Batang"/>
          <w:sz w:val="20"/>
          <w:szCs w:val="20"/>
          <w:lang w:eastAsia="ru-RU"/>
        </w:rPr>
        <w:t xml:space="preserve">*Вартість </w:t>
      </w:r>
      <w:r>
        <w:rPr>
          <w:rFonts w:ascii="Times New Roman" w:hAnsi="Times New Roman" w:eastAsia="Batang"/>
          <w:sz w:val="20"/>
          <w:szCs w:val="20"/>
          <w:lang w:eastAsia="ru-RU"/>
        </w:rPr>
        <w:t xml:space="preserve">дітодня</w:t>
      </w:r>
      <w:r>
        <w:rPr>
          <w:rFonts w:ascii="Times New Roman" w:hAnsi="Times New Roman" w:eastAsia="Batang"/>
          <w:sz w:val="20"/>
          <w:szCs w:val="20"/>
          <w:lang w:eastAsia="ru-RU"/>
        </w:rPr>
        <w:t xml:space="preserve"> в 2025 році становить – 45,00 грн в день на одну дитину, в  2026 році – 50,00 грн, в 2027 році – 55,00 грн.</w:t>
      </w:r>
      <w:r>
        <w:rPr>
          <w:rFonts w:ascii="Times New Roman" w:hAnsi="Times New Roman" w:eastAsia="Batang"/>
          <w:sz w:val="20"/>
          <w:szCs w:val="20"/>
          <w:lang w:eastAsia="ru-RU"/>
        </w:rPr>
      </w:r>
      <w:r>
        <w:rPr>
          <w:rFonts w:ascii="Times New Roman" w:hAnsi="Times New Roman" w:eastAsia="Batang"/>
          <w:sz w:val="20"/>
          <w:szCs w:val="20"/>
          <w:lang w:eastAsia="ru-RU"/>
        </w:rPr>
      </w:r>
    </w:p>
    <w:p>
      <w:pPr>
        <w:pBdr/>
        <w:spacing w:after="0" w:line="240" w:lineRule="auto"/>
        <w:ind w:right="-14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  <w:r>
        <w:rPr>
          <w:rFonts w:ascii="Times New Roman" w:hAnsi="Times New Roman"/>
          <w:b/>
          <w:sz w:val="28"/>
          <w:szCs w:val="28"/>
          <w:lang w:eastAsia="ru-RU"/>
        </w:rPr>
      </w: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Bdr/>
        <w:spacing w:after="0" w:line="240" w:lineRule="auto"/>
        <w:ind w:right="-141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2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  <w:t xml:space="preserve">Визначення проблеми, на розв'язання якої спрямована Програма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line="240" w:lineRule="auto"/>
        <w:ind/>
        <w:jc w:val="both"/>
        <w:rPr>
          <w:rFonts w:ascii="Arial" w:hAnsi="Arial" w:eastAsia="Times New Roman" w:cs="Arial"/>
          <w:sz w:val="21"/>
          <w:szCs w:val="21"/>
          <w:lang w:eastAsia="uk-UA"/>
        </w:rPr>
      </w:pPr>
      <w:r>
        <w:rPr>
          <w:rFonts w:ascii="Arial" w:hAnsi="Arial" w:eastAsia="Times New Roman" w:cs="Arial"/>
          <w:sz w:val="21"/>
          <w:szCs w:val="21"/>
          <w:lang w:eastAsia="uk-UA"/>
        </w:rPr>
      </w:r>
      <w:r>
        <w:rPr>
          <w:rFonts w:ascii="Arial" w:hAnsi="Arial" w:eastAsia="Times New Roman" w:cs="Arial"/>
          <w:sz w:val="21"/>
          <w:szCs w:val="21"/>
          <w:lang w:eastAsia="uk-UA"/>
        </w:rPr>
      </w:r>
      <w:r>
        <w:rPr>
          <w:rFonts w:ascii="Arial" w:hAnsi="Arial" w:eastAsia="Times New Roman" w:cs="Arial"/>
          <w:sz w:val="21"/>
          <w:szCs w:val="21"/>
          <w:lang w:eastAsia="uk-UA"/>
        </w:rPr>
      </w:r>
    </w:p>
    <w:p>
      <w:pPr>
        <w:pBdr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Одним із основних факторів впливу на здоров’я дітей є повноцінне і раціональне харчування.</w:t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Bdr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Станом на 01.11.2024 на території Менської територіальної громади функціонують 11 закладів загальної середньої освіти та одна філія, в яких виховується 2248 дітей. </w:t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Bdr/>
        <w:spacing w:after="0" w:line="240" w:lineRule="auto"/>
        <w:ind w:right="-141"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Постановою Кабінету Міністрів України від 24.03.2021  № 305 «Про затвердження норм та Порядку організації харчування у закладах освіти та дитячих закладах оздоровлення та відпочинку» (зі змінами) суттєво змінено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принципи планування та механізм організації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харчування здобувачів освіти/дітей у закладах загальної середньої освіти,</w:t>
      </w:r>
      <w:r>
        <w:rPr>
          <w:color w:val="000000" w:themeColor="text1"/>
          <w:shd w:val="clear" w:color="auto" w:fill="ffffff"/>
        </w:rPr>
        <w:t xml:space="preserve"> 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передбачено забезпечення більш збалансованого харчування, що вплинуло на формування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примірного чотиритижневого сезонного меню - документ, що містить набір страв, вихід (масу) їх пор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цій для різних вікових груп, враховує особливі дієтичні потреби здобувачів освіти/дітей (у разі наявності), сезонність (осінь, зима, весна, літо) та потребує збільшення грошових норм харчування на 1 дитину в день.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r>
    </w:p>
    <w:p>
      <w:pPr>
        <w:pStyle w:val="928"/>
        <w:pBdr/>
        <w:shd w:val="clear" w:color="auto" w:fill="ffffff"/>
        <w:spacing w:after="0" w:afterAutospacing="0" w:before="0" w:beforeAutospacing="0"/>
        <w:ind w:firstLine="567"/>
        <w:jc w:val="both"/>
        <w:rPr>
          <w:color w:val="000000" w:themeColor="text1"/>
        </w:rPr>
      </w:pPr>
      <w:r>
        <w:rPr>
          <w:b/>
          <w:color w:val="000000" w:themeColor="text1"/>
          <w:sz w:val="28"/>
          <w:szCs w:val="28"/>
        </w:rPr>
        <w:t xml:space="preserve">Безоплатним гарячим харчуванням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, відповідно до встановленого в закладі освіти режиму (кратності) харчування, забезпечуються учні закладу загальної середньої освіти</w:t>
      </w:r>
      <w:r>
        <w:rPr>
          <w:color w:val="000000" w:themeColor="text1"/>
          <w:sz w:val="28"/>
          <w:szCs w:val="28"/>
        </w:rPr>
        <w:t xml:space="preserve"> з числа: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28"/>
        <w:pBdr/>
        <w:shd w:val="clear" w:color="auto" w:fill="ffffff"/>
        <w:spacing w:after="0" w:afterAutospacing="0" w:before="0" w:before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дітей-сиріт;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28"/>
        <w:pBdr/>
        <w:shd w:val="clear" w:color="auto" w:fill="ffffff"/>
        <w:spacing w:after="0" w:afterAutospacing="0" w:before="0" w:before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дітей, позбавлених батьківського піклування;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28"/>
        <w:pBdr/>
        <w:shd w:val="clear" w:color="auto" w:fill="ffffff"/>
        <w:spacing w:after="0" w:afterAutospacing="0" w:before="0" w:before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дітей з особливими освітніми потребами, які навчаються у спеціальних та інклюзивних класах (групах);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28"/>
        <w:pBdr/>
        <w:shd w:val="clear" w:color="auto" w:fill="ffffff"/>
        <w:spacing w:after="0" w:afterAutospacing="0" w:before="0" w:before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дітей із сімей, які отримують допомогу відповідно до </w:t>
      </w:r>
      <w:hyperlink r:id="rId12" w:tooltip="https://zakon.rada.gov.ua/laws/show/1768-14" w:history="1">
        <w:r>
          <w:rPr>
            <w:rStyle w:val="924"/>
            <w:rFonts w:eastAsia="Arial"/>
            <w:color w:val="000000" w:themeColor="text1"/>
            <w:sz w:val="28"/>
            <w:szCs w:val="28"/>
          </w:rPr>
          <w:t xml:space="preserve">Закону України</w:t>
        </w:r>
      </w:hyperlink>
      <w:r>
        <w:rPr>
          <w:color w:val="000000" w:themeColor="text1"/>
          <w:sz w:val="28"/>
          <w:szCs w:val="28"/>
        </w:rPr>
        <w:t xml:space="preserve"> «Про державну соціальну допомогу малозабезпеченим сім’ям»;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28"/>
        <w:pBdr/>
        <w:shd w:val="clear" w:color="auto" w:fill="ffffff"/>
        <w:spacing w:after="0" w:afterAutospacing="0" w:before="0" w:before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учнів закладів освіти, розташованих на територіях радіоактивного забруднення, а також дітей, евакуйованих із зони відчуження, дітей, які є особами з інвалідністю внаслідок Чор</w:t>
      </w:r>
      <w:r>
        <w:rPr>
          <w:color w:val="000000" w:themeColor="text1"/>
          <w:sz w:val="28"/>
          <w:szCs w:val="28"/>
        </w:rPr>
        <w:t xml:space="preserve">нобильської катастрофи, і тих, що проживали у зоні безумовного (обов’язкового) відселення з моменту аварії до прийняття постанови про відселення, відповідно до </w:t>
      </w:r>
      <w:hyperlink r:id="rId13" w:tooltip="https://zakon.rada.gov.ua/laws/show/796-12" w:history="1">
        <w:r>
          <w:rPr>
            <w:rStyle w:val="924"/>
            <w:rFonts w:eastAsia="Arial"/>
            <w:color w:val="000000" w:themeColor="text1"/>
            <w:sz w:val="28"/>
            <w:szCs w:val="28"/>
            <w:u w:val="none"/>
          </w:rPr>
          <w:t xml:space="preserve">Закону України</w:t>
        </w:r>
      </w:hyperlink>
      <w:r>
        <w:rPr>
          <w:color w:val="000000" w:themeColor="text1"/>
          <w:sz w:val="28"/>
          <w:szCs w:val="28"/>
        </w:rPr>
        <w:t xml:space="preserve"> «Про статус і соціальний захист громадян, які постраждали внаслідок Чорнобильської катастрофи»;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28"/>
        <w:pBdr/>
        <w:shd w:val="clear" w:color="auto" w:fill="ffffff"/>
        <w:spacing w:after="0" w:afterAutospacing="0" w:before="0" w:before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дітей з числа внутрішньо переміщених осіб, діти, які мають статус дитини, яка постраждала внаслідок воєнних дій і збройних конфліктів;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28"/>
        <w:pBdr/>
        <w:shd w:val="clear" w:color="auto" w:fill="ffffff"/>
        <w:spacing w:after="0" w:afterAutospacing="0" w:before="0" w:before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дітей з числа осіб,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загиблих (померлих) ветеранів війни (зниклих безвісти) - (</w:t>
      </w:r>
      <w:hyperlink r:id="rId14" w:tooltip="https://zakon.rada.gov.ua/laws/show/3551-12#n147" w:anchor="n147" w:history="1">
        <w:r>
          <w:rPr>
            <w:rStyle w:val="924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стаття 10</w:t>
        </w:r>
      </w:hyperlink>
      <w:r>
        <w:rPr>
          <w:color w:val="000000" w:themeColor="text1"/>
          <w:sz w:val="28"/>
          <w:szCs w:val="28"/>
          <w:shd w:val="clear" w:color="auto" w:fill="ffffff"/>
        </w:rPr>
        <w:t xml:space="preserve">) та загиблих (померлих) Захисників і Захисн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иць України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(</w:t>
      </w:r>
      <w:hyperlink r:id="rId15" w:tooltip="https://zakon.rada.gov.ua/laws/show/3551-12#n656" w:anchor="n656" w:history="1">
        <w:r>
          <w:rPr>
            <w:rStyle w:val="924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стаття 10</w:t>
        </w:r>
      </w:hyperlink>
      <w:r/>
      <w:hyperlink r:id="rId16" w:tooltip="https://zakon.rada.gov.ua/laws/show/3551-12#n656" w:anchor="n656" w:history="1">
        <w:r>
          <w:rPr>
            <w:rStyle w:val="924"/>
            <w:b/>
            <w:bCs/>
            <w:color w:val="000000" w:themeColor="text1"/>
            <w:sz w:val="28"/>
            <w:szCs w:val="28"/>
            <w:u w:val="none"/>
            <w:shd w:val="clear" w:color="auto" w:fill="ffffff"/>
            <w:vertAlign w:val="superscript"/>
          </w:rPr>
          <w:t xml:space="preserve">-1</w:t>
        </w:r>
      </w:hyperlink>
      <w:r>
        <w:rPr>
          <w:color w:val="000000" w:themeColor="text1"/>
          <w:sz w:val="28"/>
          <w:szCs w:val="28"/>
          <w:shd w:val="clear" w:color="auto" w:fill="ffffff"/>
        </w:rPr>
        <w:t xml:space="preserve">) </w:t>
      </w:r>
      <w:r>
        <w:rPr>
          <w:color w:val="000000" w:themeColor="text1"/>
          <w:sz w:val="28"/>
          <w:szCs w:val="28"/>
        </w:rPr>
        <w:t xml:space="preserve"> відповідно до Закону України «Про статус ветеранів війни, гарантії їх соціального захисту»;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27"/>
        <w:pBdr/>
        <w:tabs>
          <w:tab w:val="left" w:leader="none" w:pos="425"/>
        </w:tabs>
        <w:spacing w:after="0" w:line="240" w:lineRule="auto"/>
        <w:ind w:right="-141" w:firstLine="567" w:left="0"/>
        <w:jc w:val="both"/>
        <w:rPr>
          <w:rFonts w:ascii="Times New Roman" w:hAnsi="Times New Roman" w:eastAsia="Batang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дітей осіб, які мають статус «учасник бойових дій»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Batang"/>
          <w:sz w:val="28"/>
          <w:szCs w:val="28"/>
          <w:lang w:eastAsia="ru-RU"/>
        </w:rPr>
      </w:r>
      <w:r>
        <w:rPr>
          <w:rFonts w:ascii="Times New Roman" w:hAnsi="Times New Roman" w:eastAsia="Batang"/>
          <w:sz w:val="28"/>
          <w:szCs w:val="28"/>
          <w:lang w:eastAsia="ru-RU"/>
        </w:rPr>
      </w:r>
    </w:p>
    <w:p>
      <w:pPr>
        <w:pStyle w:val="927"/>
        <w:pBdr/>
        <w:tabs>
          <w:tab w:val="left" w:leader="none" w:pos="425"/>
        </w:tabs>
        <w:spacing w:after="0" w:line="240" w:lineRule="auto"/>
        <w:ind w:right="-141" w:firstLine="567" w:left="0"/>
        <w:jc w:val="both"/>
        <w:rPr>
          <w:rFonts w:ascii="Times New Roman" w:hAnsi="Times New Roman"/>
          <w:bCs/>
          <w:iCs/>
          <w:sz w:val="28"/>
          <w:szCs w:val="28"/>
          <w:lang w:eastAsia="uk-UA"/>
        </w:rPr>
      </w:pPr>
      <w:r>
        <w:rPr>
          <w:rFonts w:ascii="Times New Roman" w:hAnsi="Times New Roman"/>
          <w:bCs/>
          <w:iCs/>
          <w:sz w:val="28"/>
          <w:szCs w:val="28"/>
          <w:lang w:eastAsia="uk-UA"/>
        </w:rPr>
        <w:t xml:space="preserve">дітей військовослужбовців Збройних Сил України, інших військових формувань; співробітників Національної поліції, залучених до виконання завдань в зоні бойових дій (на період дії воєнного стану в Україні);</w:t>
      </w:r>
      <w:r>
        <w:rPr>
          <w:rFonts w:ascii="Times New Roman" w:hAnsi="Times New Roman"/>
          <w:bCs/>
          <w:iCs/>
          <w:sz w:val="28"/>
          <w:szCs w:val="28"/>
          <w:lang w:eastAsia="uk-UA"/>
        </w:rPr>
      </w:r>
      <w:r>
        <w:rPr>
          <w:rFonts w:ascii="Times New Roman" w:hAnsi="Times New Roman"/>
          <w:bCs/>
          <w:iCs/>
          <w:sz w:val="28"/>
          <w:szCs w:val="28"/>
          <w:lang w:eastAsia="uk-UA"/>
        </w:rPr>
      </w:r>
    </w:p>
    <w:p>
      <w:pPr>
        <w:pStyle w:val="927"/>
        <w:pBdr/>
        <w:tabs>
          <w:tab w:val="left" w:leader="none" w:pos="425"/>
        </w:tabs>
        <w:spacing w:after="0" w:line="240" w:lineRule="auto"/>
        <w:ind w:right="-141" w:firstLine="567" w:left="0"/>
        <w:jc w:val="both"/>
        <w:rPr>
          <w:rFonts w:ascii="Times New Roman" w:hAnsi="Times New Roman"/>
          <w:bCs/>
          <w:iCs/>
          <w:sz w:val="28"/>
          <w:szCs w:val="28"/>
          <w:lang w:eastAsia="uk-UA"/>
        </w:rPr>
      </w:pPr>
      <w:r>
        <w:rPr>
          <w:rFonts w:ascii="Times New Roman" w:hAnsi="Times New Roman" w:eastAsia="Batang"/>
          <w:sz w:val="28"/>
          <w:szCs w:val="28"/>
          <w:lang w:eastAsia="ru-RU"/>
        </w:rPr>
        <w:t xml:space="preserve">дітей  </w:t>
      </w:r>
      <w:r>
        <w:rPr>
          <w:rFonts w:ascii="Times New Roman" w:hAnsi="Times New Roman"/>
          <w:bCs/>
          <w:iCs/>
          <w:sz w:val="28"/>
          <w:szCs w:val="28"/>
          <w:lang w:eastAsia="uk-UA"/>
        </w:rPr>
        <w:t xml:space="preserve">осіб, які належать до осіб з інвалідністю вн</w:t>
      </w:r>
      <w:r>
        <w:rPr>
          <w:rFonts w:ascii="Times New Roman" w:hAnsi="Times New Roman"/>
          <w:bCs/>
          <w:iCs/>
          <w:sz w:val="28"/>
          <w:szCs w:val="28"/>
          <w:lang w:eastAsia="uk-UA"/>
        </w:rPr>
        <w:t xml:space="preserve">аслідок війни;</w:t>
      </w:r>
      <w:r>
        <w:rPr>
          <w:rFonts w:ascii="Times New Roman" w:hAnsi="Times New Roman"/>
          <w:bCs/>
          <w:iCs/>
          <w:sz w:val="28"/>
          <w:szCs w:val="28"/>
          <w:lang w:eastAsia="uk-UA"/>
        </w:rPr>
      </w:r>
      <w:r>
        <w:rPr>
          <w:rFonts w:ascii="Times New Roman" w:hAnsi="Times New Roman"/>
          <w:bCs/>
          <w:iCs/>
          <w:sz w:val="28"/>
          <w:szCs w:val="28"/>
          <w:lang w:eastAsia="uk-UA"/>
        </w:rPr>
      </w:r>
    </w:p>
    <w:p>
      <w:pPr>
        <w:pStyle w:val="927"/>
        <w:pBdr/>
        <w:tabs>
          <w:tab w:val="left" w:leader="none" w:pos="425"/>
        </w:tabs>
        <w:spacing w:after="0" w:line="240" w:lineRule="auto"/>
        <w:ind w:right="-141" w:firstLine="567" w:left="0"/>
        <w:jc w:val="both"/>
        <w:rPr>
          <w:rFonts w:ascii="Times New Roman" w:hAnsi="Times New Roman" w:eastAsia="Batang"/>
          <w:sz w:val="28"/>
          <w:szCs w:val="28"/>
          <w:lang w:eastAsia="ru-RU"/>
        </w:rPr>
      </w:pPr>
      <w:r>
        <w:rPr>
          <w:rFonts w:ascii="Times New Roman" w:hAnsi="Times New Roman" w:eastAsia="Batang"/>
          <w:sz w:val="28"/>
          <w:szCs w:val="28"/>
          <w:lang w:eastAsia="ru-RU"/>
        </w:rPr>
        <w:t xml:space="preserve">дітей з інвалідністю;</w:t>
      </w:r>
      <w:r>
        <w:rPr>
          <w:rFonts w:ascii="Times New Roman" w:hAnsi="Times New Roman" w:eastAsia="Batang"/>
          <w:sz w:val="28"/>
          <w:szCs w:val="28"/>
          <w:lang w:eastAsia="ru-RU"/>
        </w:rPr>
      </w:r>
      <w:r>
        <w:rPr>
          <w:rFonts w:ascii="Times New Roman" w:hAnsi="Times New Roman" w:eastAsia="Batang"/>
          <w:sz w:val="28"/>
          <w:szCs w:val="28"/>
          <w:lang w:eastAsia="ru-RU"/>
        </w:rPr>
      </w:r>
    </w:p>
    <w:p>
      <w:pPr>
        <w:pStyle w:val="927"/>
        <w:pBdr/>
        <w:tabs>
          <w:tab w:val="left" w:leader="none" w:pos="425"/>
        </w:tabs>
        <w:spacing w:after="0" w:line="240" w:lineRule="auto"/>
        <w:ind w:right="-141" w:firstLine="567" w:left="0"/>
        <w:jc w:val="both"/>
        <w:rPr>
          <w:rFonts w:ascii="Times New Roman" w:hAnsi="Times New Roman"/>
          <w:lang w:eastAsia="uk-UA"/>
        </w:rPr>
      </w:pPr>
      <w:r>
        <w:rPr>
          <w:rFonts w:ascii="Times New Roman" w:hAnsi="Times New Roman" w:eastAsia="Batang"/>
          <w:sz w:val="28"/>
          <w:szCs w:val="28"/>
          <w:lang w:eastAsia="ru-RU"/>
        </w:rPr>
        <w:t xml:space="preserve">у виняткових випадках (в разі, якщо сім’я опинилась в складних життєвих обставинах або батьки неспромо</w:t>
      </w:r>
      <w:r>
        <w:rPr>
          <w:rFonts w:ascii="Times New Roman" w:hAnsi="Times New Roman"/>
          <w:sz w:val="28"/>
          <w:szCs w:val="28"/>
          <w:lang w:eastAsia="uk-UA"/>
        </w:rPr>
        <w:t xml:space="preserve">жні з поважних причин сплачувати за харчування дітей та інших випадках) за погодженням виконавчого комітету Менської </w:t>
      </w:r>
      <w:r>
        <w:rPr>
          <w:rFonts w:ascii="Times New Roman" w:hAnsi="Times New Roman"/>
          <w:sz w:val="28"/>
          <w:szCs w:val="28"/>
          <w:lang w:eastAsia="uk-UA"/>
        </w:rPr>
        <w:t xml:space="preserve">міської ради (при наявності підтверджуючих документів, заяви одного з батьків та за пропозицією відділу освіти Менської міської ради)).</w:t>
      </w:r>
      <w:r>
        <w:rPr>
          <w:rFonts w:ascii="Times New Roman" w:hAnsi="Times New Roman"/>
          <w:lang w:eastAsia="uk-UA"/>
        </w:rPr>
      </w:r>
      <w:r>
        <w:rPr>
          <w:rFonts w:ascii="Times New Roman" w:hAnsi="Times New Roman"/>
          <w:lang w:eastAsia="uk-UA"/>
        </w:rPr>
      </w:r>
    </w:p>
    <w:p>
      <w:pPr>
        <w:pBdr/>
        <w:tabs>
          <w:tab w:val="left" w:leader="none" w:pos="426"/>
          <w:tab w:val="left" w:leader="none" w:pos="851"/>
        </w:tabs>
        <w:spacing w:after="0" w:line="240" w:lineRule="auto"/>
        <w:ind w:right="-141" w:firstLine="567"/>
        <w:jc w:val="both"/>
        <w:rPr>
          <w:rStyle w:val="929"/>
          <w:rFonts w:ascii="Times New Roman" w:hAnsi="Times New Roman"/>
          <w:sz w:val="28"/>
          <w:szCs w:val="28"/>
        </w:rPr>
      </w:pPr>
      <w:r>
        <w:rPr>
          <w:rStyle w:val="929"/>
          <w:rFonts w:ascii="Times New Roman" w:hAnsi="Times New Roman"/>
          <w:sz w:val="28"/>
          <w:szCs w:val="28"/>
        </w:rPr>
        <w:t xml:space="preserve">Гарячим харчуванням, з </w:t>
      </w:r>
      <w:r>
        <w:rPr>
          <w:rStyle w:val="929"/>
          <w:rFonts w:ascii="Times New Roman" w:hAnsi="Times New Roman"/>
          <w:b/>
          <w:sz w:val="28"/>
          <w:szCs w:val="28"/>
        </w:rPr>
        <w:t xml:space="preserve">оплатою в розмірі 50% від вартості харчування</w:t>
      </w:r>
      <w:r>
        <w:rPr>
          <w:rStyle w:val="929"/>
          <w:rFonts w:ascii="Times New Roman" w:hAnsi="Times New Roman"/>
          <w:sz w:val="28"/>
          <w:szCs w:val="28"/>
        </w:rPr>
        <w:t xml:space="preserve">, забезпечуються діти з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 сімей, в яких троє і більше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дітей до 18 років .</w:t>
      </w:r>
      <w:r>
        <w:rPr>
          <w:rStyle w:val="929"/>
          <w:rFonts w:ascii="Times New Roman" w:hAnsi="Times New Roman"/>
          <w:sz w:val="28"/>
          <w:szCs w:val="28"/>
        </w:rPr>
        <w:t xml:space="preserve"> </w:t>
      </w:r>
      <w:r>
        <w:rPr>
          <w:rStyle w:val="929"/>
          <w:rFonts w:ascii="Times New Roman" w:hAnsi="Times New Roman"/>
          <w:sz w:val="28"/>
          <w:szCs w:val="28"/>
        </w:rPr>
      </w:r>
      <w:r>
        <w:rPr>
          <w:rStyle w:val="929"/>
          <w:rFonts w:ascii="Times New Roman" w:hAnsi="Times New Roman"/>
          <w:sz w:val="28"/>
          <w:szCs w:val="28"/>
        </w:rPr>
      </w:r>
    </w:p>
    <w:p>
      <w:pPr>
        <w:pStyle w:val="936"/>
        <w:pBdr/>
        <w:shd w:val="clear" w:color="auto" w:fill="ffffff"/>
        <w:spacing w:after="0" w:afterAutospacing="0" w:before="0" w:beforeAutospacing="0"/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Не менш важливим фактором впливу на здоров'я дітей є відпочинкова кампанія у пришкільних таборах відпочинку при закладах загальної середньої освіти.  </w:t>
      </w:r>
      <w:r>
        <w:rPr>
          <w:sz w:val="28"/>
          <w:szCs w:val="28"/>
        </w:rPr>
        <w:t xml:space="preserve">Так, в червні 2024 року протягом 14 робочих днів діяли  11 пришкільних таборів відпочинку. Було забезпечено відпочинковими послугами 497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здобувачів освіти. Вартість харчування у пришкільних таборах відпочинку становила 55.00 грн на день на одного учня. Всі</w:t>
      </w:r>
      <w:r>
        <w:rPr>
          <w:sz w:val="28"/>
          <w:szCs w:val="28"/>
        </w:rPr>
        <w:t xml:space="preserve"> кошти спрямовувалися на організацію харчування дітей.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Times New Roman"/>
          <w:color w:val="212529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eastAsia="Times New Roman"/>
          <w:color w:val="212529"/>
          <w:sz w:val="28"/>
          <w:szCs w:val="28"/>
          <w:lang w:eastAsia="uk-UA"/>
        </w:rPr>
        <w:t xml:space="preserve"> </w:t>
      </w:r>
      <w:r>
        <w:rPr>
          <w:rFonts w:ascii="Times New Roman" w:hAnsi="Times New Roman" w:eastAsia="Times New Roman"/>
          <w:color w:val="212529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212529"/>
          <w:sz w:val="28"/>
          <w:szCs w:val="28"/>
          <w:lang w:eastAsia="uk-UA"/>
        </w:rPr>
      </w:r>
    </w:p>
    <w:p>
      <w:pPr>
        <w:pBdr/>
        <w:shd w:val="clear" w:color="auto" w:fill="ffffff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ind w:firstLine="567"/>
        <w:jc w:val="center"/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pP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  <w:t xml:space="preserve">3</w:t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  <w:t xml:space="preserve">. Аналіз причин   виникнення    проблеми    та    </w:t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  <w:t xml:space="preserve">обгрунтування</w:t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  <w:t xml:space="preserve"> </w:t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  <w:br/>
        <w:t xml:space="preserve">необхідності її розв'язання програмним методом</w:t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r>
    </w:p>
    <w:p>
      <w:pPr>
        <w:pBdr/>
        <w:shd w:val="clear" w:color="auto" w:fill="ffffff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ind/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pP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r>
    </w:p>
    <w:p>
      <w:pPr>
        <w:pBdr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 початку навчального 2024-2025 року в 11 закладах загальної середньої освіти та 1-й філії навчається 2248 дітей. Станом на 01 жовтня 2024 року гарячим </w:t>
      </w:r>
      <w:r>
        <w:rPr>
          <w:rFonts w:ascii="Times New Roman" w:hAnsi="Times New Roman"/>
          <w:sz w:val="28"/>
          <w:szCs w:val="28"/>
        </w:rPr>
        <w:t xml:space="preserve">харчуванням охоплено 1900 дітей, безоплатним гарячим харчуванням – 1738 дітей, розмір плати зменшено на </w:t>
      </w:r>
      <w:r>
        <w:rPr>
          <w:rFonts w:ascii="Times New Roman" w:hAnsi="Times New Roman"/>
          <w:sz w:val="28"/>
          <w:szCs w:val="28"/>
        </w:rPr>
        <w:t xml:space="preserve">50 відсотків для батьків, у сім’ях яких троє і більше дітей до 18 років включно – 97 дітей, за кошти батьків харчується 65 дітей.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7"/>
        <w:pBdr/>
        <w:spacing w:after="0" w:line="240" w:lineRule="auto"/>
        <w:ind w:right="-141" w:firstLine="567" w:left="0"/>
        <w:jc w:val="both"/>
        <w:rPr>
          <w:rFonts w:ascii="Times New Roman" w:hAnsi="Times New Roman" w:eastAsia="Batang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Вартість харчування на одну дитину в день, з урахуванням вимог Постанови Кабінету Міністрів України від 24.03.2021  №305 «Про </w:t>
      </w:r>
      <w:r>
        <w:rPr>
          <w:rFonts w:ascii="Times New Roman" w:hAnsi="Times New Roman"/>
          <w:sz w:val="28"/>
          <w:szCs w:val="28"/>
        </w:rPr>
        <w:t xml:space="preserve">затвердження норм та Порядку організації харчування у закладах освіти та дитячих закладах оздоровлення та відпочинку» (зі змінами), в 2025-2027 роках планується  встановити на рівні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: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 w:eastAsia="Batang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в 2025 році – 45 грн в день на одну дитину, 2026 році – 50 грн, 2027 ро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ці – 55 грн.</w:t>
      </w:r>
      <w:r>
        <w:rPr>
          <w:rFonts w:ascii="Times New Roman" w:hAnsi="Times New Roman" w:eastAsia="Batang"/>
          <w:sz w:val="28"/>
          <w:szCs w:val="28"/>
          <w:lang w:eastAsia="ru-RU"/>
        </w:rPr>
      </w:r>
      <w:r>
        <w:rPr>
          <w:rFonts w:ascii="Times New Roman" w:hAnsi="Times New Roman" w:eastAsia="Batang"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В зв’язку з переведенням з 01 січня 2022 року закладів загальної середньої освіти на умови самостійного ведення господарської діяльності та бухгалтерського обліку, Відділ освіти, Комунальна установа «Центр з обслуговування освітніх установ та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закладів освіти» забезпечуватимуть координацію процесу організації харчування та контроль за використанням коштів, спрямованих на організацію харчування учнів в цілому, а також на організацію безоплатного та пільгового гарячого харчування дітей шкільного в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іку, які навчаються в закладах загальної середньої освіти Менської територіальної громади, категорії яких визначені даною Програмою. </w:t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Bdr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Контроль за харчовими нормами, якістю продукції, яка надходить до харчоблоків, організація харчування в ЗЗСО здійснюється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керівництвом відповідного закладу в рамках системи управління безпечністю харчових продуктів –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НАССР.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  Комунальна установа «Центр з обслуговування освітніх установ та закладів освіти» спільно з адміністрацією закладу освіти буде  забезпечувати закупівлю і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контроль за постачанням продуктів харчування та продовольчої сировини гарантованої якості, ведення бухгалтерського обліку продуктів харчування та продовольчої сировини, аналітичний облік батьківської плати за харчування в закладах освіти.</w:t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Bdr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Заклади освіти  з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абезпечують замовлення необхідної кількості продуктів харчування та продовольчої сировини, їх приймання, складання меню-розкладу, виготовлення страв, подання дітям готових страв, ведення обліку дітей, які отримують харчування, контроль за харчуванням, інфо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рмування  батьків про організацію харчування дітей в закладі.</w:t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Bdr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Необхідне створення належних умов для оздоровлення та повноцінного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відпочинку дітей в пришкільних таборах Менської   територіальної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громади; збільшення кількості дітей громади, охоплених організованими формами відпочинку та оздоровлення; надання послуг з відпочинку дітям, які потребують особливої соціальної уваги та підтримки; формування та пропаганда здорового і безпечного харчування.</w:t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Bdr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Розробка Програми зумовлена необхідністю створення та забезпечення умов для організації повноцінного та якісного харчування здобувачів освіти закладів загальної середньої освіти Менської ТГ, а також забезпечення пільгових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умов оплати за харчування учнів ш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кіл категорій, які потребують соціальної підтримки.</w:t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Bdr/>
        <w:shd w:val="clear" w:color="auto" w:fill="ffffff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ind/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pP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r>
    </w:p>
    <w:p>
      <w:pPr>
        <w:pBdr/>
        <w:shd w:val="clear" w:color="auto" w:fill="ffffff"/>
        <w:spacing w:after="0" w:line="240" w:lineRule="auto"/>
        <w:ind w:left="721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  <w:t xml:space="preserve">4</w:t>
      </w: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  <w:t xml:space="preserve">. Мета Програми</w:t>
      </w: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r>
    </w:p>
    <w:p>
      <w:pPr>
        <w:pBdr/>
        <w:shd w:val="clear" w:color="auto" w:fill="ffffff"/>
        <w:spacing w:after="0" w:line="240" w:lineRule="auto"/>
        <w:ind w:left="721"/>
        <w:jc w:val="center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Bdr/>
        <w:spacing w:after="0" w:line="240" w:lineRule="auto"/>
        <w:ind w:right="-141" w:firstLine="708"/>
        <w:jc w:val="both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Основна мета Програми – створення умов для збереження здоров’я дітей, підвищення рівня організації харчування, забезпечення учнів закладів загальної середньої освіти якісним харчуванням, впровадження нових технологій приготування їжі.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 В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досконалення системи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 організації харчування у закладах загальної середньої освіти Менської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територільної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 громади, удосконалення управління системою організації харчування, оптимізація витрат на її функціонування. Забезпечення гарячим безоплатним та пільговим харчуванням учнів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, які відвідують заклади загальної середньої освіти Менської громади, категорії яких визначені даною Програмою.</w:t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Batang"/>
          <w:sz w:val="28"/>
          <w:szCs w:val="28"/>
          <w:lang w:eastAsia="ru-RU"/>
        </w:rPr>
      </w:pPr>
      <w:r>
        <w:rPr>
          <w:rFonts w:ascii="Times New Roman" w:hAnsi="Times New Roman" w:eastAsia="Batang"/>
          <w:sz w:val="28"/>
          <w:szCs w:val="28"/>
          <w:lang w:eastAsia="ru-RU"/>
        </w:rPr>
        <w:t xml:space="preserve">Також, м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етою Програми є створення сприятливих умов та реалізація права на якісне оздоровлення і відпочинок дітей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 у пришкільних таборах відпочинку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. Досягнення поставленої мети здійснюватиметься шляхом 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відпочинкової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, організаційно-координаційної та 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освітньо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-виховної діяльності. Реалізація заходів з оздоровлення та відпочинку дітей відповідає пріоритетним напрямкам розвитку 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громади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Batang"/>
          <w:sz w:val="28"/>
          <w:szCs w:val="28"/>
          <w:lang w:eastAsia="ru-RU"/>
        </w:rPr>
      </w:r>
      <w:r>
        <w:rPr>
          <w:rFonts w:ascii="Times New Roman" w:hAnsi="Times New Roman" w:eastAsia="Batang"/>
          <w:sz w:val="28"/>
          <w:szCs w:val="28"/>
          <w:lang w:eastAsia="ru-RU"/>
        </w:rPr>
      </w:r>
    </w:p>
    <w:p>
      <w:pPr>
        <w:pStyle w:val="936"/>
        <w:numPr>
          <w:ilvl w:val="0"/>
          <w:numId w:val="10"/>
        </w:numPr>
        <w:pBdr/>
        <w:shd w:val="clear" w:color="auto" w:fill="ffffff"/>
        <w:spacing w:after="0" w:afterAutospacing="0" w:before="0" w:beforeAutospacing="0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створення належних умов для оздоровлення та повноцінного відпочинку дітей в пришкільних таборах Менської   територіальної громади;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6"/>
        <w:numPr>
          <w:ilvl w:val="0"/>
          <w:numId w:val="10"/>
        </w:numPr>
        <w:pBdr/>
        <w:shd w:val="clear" w:color="auto" w:fill="ffffff"/>
        <w:spacing w:after="0" w:afterAutospacing="0" w:before="0" w:beforeAutospacing="0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збільшення кількості дітей громади, охоплених організованими формами відпочинку та оздоровлення;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6"/>
        <w:numPr>
          <w:ilvl w:val="0"/>
          <w:numId w:val="10"/>
        </w:numPr>
        <w:pBdr/>
        <w:shd w:val="clear" w:color="auto" w:fill="ffffff"/>
        <w:spacing w:after="0" w:afterAutospacing="0" w:before="0" w:beforeAutospacing="0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створення умов для зміцнення фізичного та психічного здоров’я дітей шляхом належної організації відпочинку в пришкільних таборах;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6"/>
        <w:numPr>
          <w:ilvl w:val="0"/>
          <w:numId w:val="10"/>
        </w:numPr>
        <w:pBdr/>
        <w:shd w:val="clear" w:color="auto" w:fill="ffffff"/>
        <w:spacing w:after="0" w:afterAutospacing="0" w:before="0" w:beforeAutospacing="0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надання послуг з відпочинку дітям, які потребують особливої соціальної уваги та підтримки;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6"/>
        <w:numPr>
          <w:ilvl w:val="0"/>
          <w:numId w:val="10"/>
        </w:numPr>
        <w:pBdr/>
        <w:shd w:val="clear" w:color="auto" w:fill="ffffff"/>
        <w:spacing w:after="0" w:afterAutospacing="0" w:before="0" w:beforeAutospacing="0"/>
        <w:ind w:firstLine="567" w:left="0"/>
        <w:jc w:val="both"/>
        <w:rPr/>
      </w:pPr>
      <w:r>
        <w:rPr>
          <w:sz w:val="28"/>
          <w:szCs w:val="28"/>
        </w:rPr>
        <w:t xml:space="preserve">формування та пропаганда здорового і безпечного способу життя.</w:t>
      </w:r>
      <w:r/>
    </w:p>
    <w:p>
      <w:pPr>
        <w:pStyle w:val="936"/>
        <w:pBdr/>
        <w:shd w:val="clear" w:color="auto" w:fill="ffffff"/>
        <w:spacing w:after="0" w:afterAutospacing="0" w:before="0" w:beforeAutospacing="0"/>
        <w:ind w:left="567"/>
        <w:jc w:val="both"/>
        <w:rPr/>
      </w:pPr>
      <w:r/>
      <w:r/>
    </w:p>
    <w:p>
      <w:pPr>
        <w:pStyle w:val="936"/>
        <w:pBdr/>
        <w:shd w:val="clear" w:color="auto" w:fill="ffffff"/>
        <w:spacing w:after="0" w:afterAutospacing="0" w:before="0" w:beforeAutospacing="0"/>
        <w:ind w:left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Завдання Програми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36"/>
        <w:pBdr/>
        <w:shd w:val="clear" w:color="auto" w:fill="ffffff"/>
        <w:spacing w:after="0" w:afterAutospacing="0" w:before="0" w:beforeAutospacing="0"/>
        <w:ind w:left="567"/>
        <w:jc w:val="center"/>
        <w:rPr/>
      </w:pPr>
      <w:r/>
      <w:r/>
    </w:p>
    <w:p>
      <w:pPr>
        <w:pStyle w:val="936"/>
        <w:numPr>
          <w:ilvl w:val="0"/>
          <w:numId w:val="10"/>
        </w:numPr>
        <w:pBdr/>
        <w:shd w:val="clear" w:color="auto" w:fill="ffffff"/>
        <w:spacing w:after="0" w:afterAutospacing="0" w:before="0" w:beforeAutospacing="0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абезпеч</w:t>
      </w:r>
      <w:r>
        <w:rPr>
          <w:sz w:val="28"/>
          <w:szCs w:val="28"/>
        </w:rPr>
        <w:t xml:space="preserve">ити</w:t>
      </w:r>
      <w:r>
        <w:rPr>
          <w:sz w:val="28"/>
          <w:szCs w:val="28"/>
        </w:rPr>
        <w:t xml:space="preserve"> повноцінн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і раціональн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харчування дітей шкільного віку.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6"/>
        <w:numPr>
          <w:ilvl w:val="0"/>
          <w:numId w:val="10"/>
        </w:numPr>
        <w:pBdr/>
        <w:shd w:val="clear" w:color="auto" w:fill="ffffff"/>
        <w:spacing w:after="0" w:afterAutospacing="0" w:before="0" w:beforeAutospacing="0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Забезпеч</w:t>
      </w:r>
      <w:r>
        <w:rPr>
          <w:sz w:val="28"/>
          <w:szCs w:val="28"/>
        </w:rPr>
        <w:t xml:space="preserve">ити</w:t>
      </w:r>
      <w:r>
        <w:rPr>
          <w:sz w:val="28"/>
          <w:szCs w:val="28"/>
        </w:rPr>
        <w:t xml:space="preserve"> гарячим безоплатним та пільговим харчуванням дітей шкільного віку, які відвідують заклади загальної середньої освіти Менської ТГ, категорії яких визначені даною Про</w:t>
      </w:r>
      <w:r>
        <w:rPr>
          <w:sz w:val="28"/>
          <w:szCs w:val="28"/>
        </w:rPr>
        <w:t xml:space="preserve">грамою.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6"/>
        <w:numPr>
          <w:ilvl w:val="0"/>
          <w:numId w:val="10"/>
        </w:numPr>
        <w:pBdr/>
        <w:shd w:val="clear" w:color="auto" w:fill="ffffff"/>
        <w:spacing w:after="0" w:afterAutospacing="0" w:before="0" w:beforeAutospacing="0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Формува</w:t>
      </w:r>
      <w:r>
        <w:rPr>
          <w:sz w:val="28"/>
          <w:szCs w:val="28"/>
        </w:rPr>
        <w:t xml:space="preserve">ти</w:t>
      </w:r>
      <w:r>
        <w:rPr>
          <w:sz w:val="28"/>
          <w:szCs w:val="28"/>
        </w:rPr>
        <w:t xml:space="preserve"> навич</w:t>
      </w:r>
      <w:r>
        <w:rPr>
          <w:sz w:val="28"/>
          <w:szCs w:val="28"/>
        </w:rPr>
        <w:t xml:space="preserve">ки</w:t>
      </w:r>
      <w:r>
        <w:rPr>
          <w:sz w:val="28"/>
          <w:szCs w:val="28"/>
        </w:rPr>
        <w:t xml:space="preserve"> правильного та здорового харчування.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6"/>
        <w:numPr>
          <w:ilvl w:val="0"/>
          <w:numId w:val="10"/>
        </w:numPr>
        <w:pBdr/>
        <w:shd w:val="clear" w:color="auto" w:fill="ffffff"/>
        <w:spacing w:after="0" w:afterAutospacing="0" w:before="0" w:beforeAutospacing="0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Надавати збалансоване харчування відповідно до віку і стану здоров’я дітей, урізноманітнювати раціон харчування.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6"/>
        <w:numPr>
          <w:ilvl w:val="0"/>
          <w:numId w:val="10"/>
        </w:numPr>
        <w:pBdr/>
        <w:shd w:val="clear" w:color="auto" w:fill="ffffff"/>
        <w:spacing w:after="0" w:afterAutospacing="0" w:before="0" w:beforeAutospacing="0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Забезпечити раціональне та ефективне використання бюджетних коштів.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bCs/>
          <w:sz w:val="28"/>
          <w:szCs w:val="28"/>
          <w:lang w:eastAsia="uk-UA"/>
        </w:rPr>
        <w:t xml:space="preserve">Д</w:t>
      </w:r>
      <w:r>
        <w:rPr>
          <w:rFonts w:ascii="Times New Roman" w:hAnsi="Times New Roman" w:eastAsia="Times New Roman"/>
          <w:bCs/>
          <w:sz w:val="28"/>
          <w:szCs w:val="28"/>
          <w:lang w:eastAsia="uk-UA"/>
        </w:rPr>
        <w:t xml:space="preserve">оцільність створення даної Програми обумовлена</w:t>
      </w: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турботою про збереження та поліпшення стану здоров’я дітей; необхідністю створення умов для організації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повноцінного і якісного харчування як важливої складової для розвитку дитячого організму; необхідністю в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досконалення системи організації харчування у закладах загальної середньої освіти Менської ТГ, яка забезпечить раціональне, ефективне і прозоре використання бюджетних коштів.</w:t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Bdr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Bdr/>
        <w:shd w:val="clear" w:color="auto" w:fill="ffffff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ind w:firstLine="567"/>
        <w:jc w:val="center"/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  <w:t xml:space="preserve">6</w:t>
      </w: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  <w:t xml:space="preserve">. </w:t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  <w:t xml:space="preserve">Шляхи </w:t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  <w:t xml:space="preserve">і  способи</w:t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  <w:t xml:space="preserve">  розв'язання   проблеми,   </w:t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r>
    </w:p>
    <w:p>
      <w:pPr>
        <w:pBdr/>
        <w:shd w:val="clear" w:color="auto" w:fill="ffffff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ind w:firstLine="567"/>
        <w:jc w:val="center"/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pP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  <w:t xml:space="preserve">строк   виконання Програми</w:t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r>
    </w:p>
    <w:p>
      <w:pPr>
        <w:pBdr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eastAsia="Times New Roman"/>
          <w:b/>
          <w:sz w:val="28"/>
          <w:szCs w:val="28"/>
          <w:lang w:eastAsia="uk-UA"/>
        </w:rPr>
      </w:pPr>
      <w:r>
        <w:rPr>
          <w:rFonts w:ascii="Times New Roman" w:hAnsi="Times New Roman" w:eastAsia="Times New Roman"/>
          <w:b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sz w:val="28"/>
          <w:szCs w:val="28"/>
          <w:lang w:eastAsia="uk-UA"/>
        </w:rPr>
      </w:r>
    </w:p>
    <w:p>
      <w:pPr>
        <w:pStyle w:val="934"/>
        <w:pBdr/>
        <w:shd w:val="clear" w:color="auto" w:fill="auto"/>
        <w:spacing w:line="240" w:lineRule="auto"/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Виконання Програми здійснюється за такими напрямами: 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34"/>
        <w:pBdr/>
        <w:shd w:val="clear" w:color="auto" w:fill="auto"/>
        <w:spacing w:line="240" w:lineRule="auto"/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оновлення технологічного обладнання, матеріально-технічної бази харчоблоків шкільних </w:t>
      </w:r>
      <w:r>
        <w:rPr>
          <w:sz w:val="28"/>
          <w:szCs w:val="28"/>
          <w:lang w:val="uk-UA"/>
        </w:rPr>
        <w:t xml:space="preserve">їдалень</w:t>
      </w:r>
      <w:r>
        <w:rPr>
          <w:sz w:val="28"/>
          <w:szCs w:val="28"/>
          <w:lang w:val="uk-UA"/>
        </w:rPr>
        <w:t xml:space="preserve"> закладів загальної середньої освіти відповідно до сучасних вимог та з урахуванням чинного законодавства;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34"/>
        <w:pBdr/>
        <w:shd w:val="clear" w:color="auto" w:fill="auto"/>
        <w:spacing w:line="240" w:lineRule="auto"/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навч</w:t>
      </w:r>
      <w:r>
        <w:rPr>
          <w:sz w:val="28"/>
          <w:szCs w:val="28"/>
          <w:lang w:val="uk-UA"/>
        </w:rPr>
        <w:t xml:space="preserve">ання працівників, пов’язаних із забезпеченням шкільного харчування з питань гігієни персоналу, гігієнічних вимог до виробництва та обігу харчових продуктів, у тому числі з питань системи НАССР і програм-передумов;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34"/>
        <w:pBdr/>
        <w:shd w:val="clear" w:color="auto" w:fill="auto"/>
        <w:spacing w:line="240" w:lineRule="auto"/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здійснення реконструкцій, капітальних ремо</w:t>
      </w:r>
      <w:r>
        <w:rPr>
          <w:sz w:val="28"/>
          <w:szCs w:val="28"/>
          <w:lang w:val="uk-UA"/>
        </w:rPr>
        <w:t xml:space="preserve">нтів </w:t>
      </w:r>
      <w:r>
        <w:rPr>
          <w:sz w:val="28"/>
          <w:szCs w:val="28"/>
          <w:lang w:val="uk-UA"/>
        </w:rPr>
        <w:t xml:space="preserve">їдалень</w:t>
      </w:r>
      <w:r>
        <w:rPr>
          <w:sz w:val="28"/>
          <w:szCs w:val="28"/>
          <w:lang w:val="uk-UA"/>
        </w:rPr>
        <w:t xml:space="preserve"> та харчоблоків закладів загальної середньої освіти;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34"/>
        <w:pBdr/>
        <w:shd w:val="clear" w:color="auto" w:fill="auto"/>
        <w:spacing w:line="240" w:lineRule="auto"/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організація харчування за технологічною моделлю</w:t>
      </w:r>
      <w:r>
        <w:rPr>
          <w:sz w:val="28"/>
          <w:szCs w:val="28"/>
          <w:lang w:val="uk-UA" w:eastAsia="ru-RU" w:bidi="ru-RU"/>
        </w:rPr>
        <w:t xml:space="preserve"> </w:t>
      </w:r>
      <w:r>
        <w:rPr>
          <w:sz w:val="28"/>
          <w:szCs w:val="28"/>
          <w:lang w:val="uk-UA"/>
        </w:rPr>
        <w:t xml:space="preserve">«базова кухня»;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34"/>
        <w:pBdr/>
        <w:shd w:val="clear" w:color="auto" w:fill="auto"/>
        <w:spacing w:line="240" w:lineRule="auto"/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забезпечення впровадження системи аналізу небезпечних факторів та контролю в критичних точках (НАССР);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34"/>
        <w:pBdr/>
        <w:shd w:val="clear" w:color="auto" w:fill="auto"/>
        <w:spacing w:line="240" w:lineRule="auto"/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запровадження нового шкі</w:t>
      </w:r>
      <w:r>
        <w:rPr>
          <w:sz w:val="28"/>
          <w:szCs w:val="28"/>
          <w:lang w:val="uk-UA"/>
        </w:rPr>
        <w:t xml:space="preserve">льного харчування, альтернативних форм харчування, нових рецептур, що пройшли державну санітарно-епідеміологічну експертизу щодо можливості використання при харчуванні дітей у закладах загальної середньої освіти;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34"/>
        <w:pBdr/>
        <w:shd w:val="clear" w:color="auto" w:fill="auto"/>
        <w:spacing w:line="240" w:lineRule="auto"/>
        <w:ind w:firstLine="5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підвищення кваліфікації кухарів за оновлени</w:t>
      </w:r>
      <w:r>
        <w:rPr>
          <w:sz w:val="28"/>
          <w:szCs w:val="28"/>
          <w:lang w:val="uk-UA"/>
        </w:rPr>
        <w:t xml:space="preserve">ми програмами;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34"/>
        <w:pBdr/>
        <w:shd w:val="clear" w:color="auto" w:fill="auto"/>
        <w:spacing w:line="240" w:lineRule="auto"/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навчання працівників закладів загальної середньої освіти, залучених до підвищення кваліфікації вчителів (</w:t>
      </w:r>
      <w:r>
        <w:rPr>
          <w:sz w:val="28"/>
          <w:szCs w:val="28"/>
          <w:lang w:val="uk-UA"/>
        </w:rPr>
        <w:t xml:space="preserve">здоров’язбережувальна</w:t>
      </w:r>
      <w:r>
        <w:rPr>
          <w:sz w:val="28"/>
          <w:szCs w:val="28"/>
          <w:lang w:val="uk-UA"/>
        </w:rPr>
        <w:t xml:space="preserve"> галузь), керівників закладів загальної середньої освіти з питань організації харчування та формування навичок здор</w:t>
      </w:r>
      <w:r>
        <w:rPr>
          <w:sz w:val="28"/>
          <w:szCs w:val="28"/>
          <w:lang w:val="uk-UA"/>
        </w:rPr>
        <w:t xml:space="preserve">ового харчування в закладах загальної середньої освіти;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34"/>
        <w:pBdr/>
        <w:shd w:val="clear" w:color="auto" w:fill="auto"/>
        <w:spacing w:line="240" w:lineRule="auto"/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забезпечення виконання норм харчування учнів відповідно до вимог чинного законодавства;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34"/>
        <w:pBdr/>
        <w:shd w:val="clear" w:color="auto" w:fill="auto"/>
        <w:spacing w:line="240" w:lineRule="auto"/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підвищення рівня обізнаності працівників щодо формування тендерної документації, у том</w:t>
      </w:r>
      <w:r>
        <w:rPr>
          <w:sz w:val="28"/>
          <w:szCs w:val="28"/>
          <w:lang w:val="uk-UA"/>
        </w:rPr>
        <w:t xml:space="preserve">у числі належне формування вимог до продуктів у частині інформації про технічні, якісні та кількісні характеристики предмета закупівлі, оформлення договорів із зазначенням процедури контролю постачальників та їх відповідальності за порушення умов договору;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34"/>
        <w:pBdr/>
        <w:shd w:val="clear" w:color="auto" w:fill="auto"/>
        <w:spacing w:line="240" w:lineRule="auto"/>
        <w:ind w:firstLine="5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передбачення фінансування на проведення лабораторних досліджень у разі виникнення спірних питань із постачальником харчових продуктів;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34"/>
        <w:pBdr/>
        <w:shd w:val="clear" w:color="auto" w:fill="auto"/>
        <w:spacing w:line="240" w:lineRule="auto"/>
        <w:ind w:firstLine="5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збільшення кількості учнів, охоплених гарячим харчуванням;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34"/>
        <w:pBdr/>
        <w:shd w:val="clear" w:color="auto" w:fill="auto"/>
        <w:spacing w:line="240" w:lineRule="auto"/>
        <w:ind w:firstLine="5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проведення в закладах загальної середньої освіти просвітницьк</w:t>
      </w:r>
      <w:r>
        <w:rPr>
          <w:sz w:val="28"/>
          <w:szCs w:val="28"/>
          <w:lang w:val="uk-UA"/>
        </w:rPr>
        <w:t xml:space="preserve">ої роботи з учнями та батьками щодо формування культури здорового харчування.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Batang"/>
          <w:sz w:val="28"/>
          <w:szCs w:val="28"/>
          <w:lang w:eastAsia="ru-RU"/>
        </w:rPr>
      </w:pPr>
      <w:r>
        <w:rPr>
          <w:rFonts w:ascii="Times New Roman" w:hAnsi="Times New Roman" w:eastAsia="Batang"/>
          <w:sz w:val="28"/>
          <w:szCs w:val="28"/>
          <w:lang w:eastAsia="ru-RU"/>
        </w:rPr>
        <w:t xml:space="preserve">Прийняття цієї Програми дозволяє поступово вирішувати проблеми у сфері оздоровлення та літнього відпочинку дітей. Програма передбачає протягом 2025-2027 років здійснення комплекс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у заходів щодо створення умов для належної організації оздоровлення і літнього відпочинку дітей шляхом:</w:t>
      </w:r>
      <w:r>
        <w:rPr>
          <w:rFonts w:ascii="Times New Roman" w:hAnsi="Times New Roman" w:eastAsia="Batang"/>
          <w:sz w:val="28"/>
          <w:szCs w:val="28"/>
          <w:lang w:eastAsia="ru-RU"/>
        </w:rPr>
      </w:r>
      <w:r>
        <w:rPr>
          <w:rFonts w:ascii="Times New Roman" w:hAnsi="Times New Roman" w:eastAsia="Batang"/>
          <w:sz w:val="28"/>
          <w:szCs w:val="28"/>
          <w:lang w:eastAsia="ru-RU"/>
        </w:rPr>
      </w:r>
    </w:p>
    <w:p>
      <w:pPr>
        <w:pStyle w:val="936"/>
        <w:numPr>
          <w:ilvl w:val="0"/>
          <w:numId w:val="9"/>
        </w:numPr>
        <w:pBdr/>
        <w:shd w:val="clear" w:color="auto" w:fill="ffffff"/>
        <w:spacing w:after="0" w:afterAutospacing="0" w:before="0" w:beforeAutospacing="0"/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організації та проведення семінарів для директорів, інших відповідальних осіб, які забезпечують роботу пришкільних таборів;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4"/>
        <w:pBdr/>
        <w:shd w:val="clear" w:color="auto" w:fill="auto"/>
        <w:spacing w:line="240" w:lineRule="auto"/>
        <w:ind w:firstLine="5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 xml:space="preserve">забезпечення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дітей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покраще</w:t>
      </w:r>
      <w:r>
        <w:rPr>
          <w:sz w:val="28"/>
          <w:szCs w:val="28"/>
          <w:lang w:val="ru-RU"/>
        </w:rPr>
        <w:t xml:space="preserve">ним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харчуванням</w:t>
      </w:r>
      <w:r>
        <w:rPr>
          <w:sz w:val="28"/>
          <w:szCs w:val="28"/>
          <w:lang w:val="ru-RU"/>
        </w:rPr>
        <w:t xml:space="preserve"> у </w:t>
      </w:r>
      <w:r>
        <w:rPr>
          <w:sz w:val="28"/>
          <w:szCs w:val="28"/>
          <w:lang w:val="ru-RU"/>
        </w:rPr>
        <w:t xml:space="preserve">пришкільних</w:t>
      </w:r>
      <w:r>
        <w:rPr>
          <w:sz w:val="28"/>
          <w:szCs w:val="28"/>
          <w:lang w:val="ru-RU"/>
        </w:rPr>
        <w:t xml:space="preserve"> таборах </w:t>
      </w:r>
      <w:r>
        <w:rPr>
          <w:sz w:val="28"/>
          <w:szCs w:val="28"/>
          <w:lang w:val="ru-RU"/>
        </w:rPr>
        <w:t xml:space="preserve">відпочинку</w:t>
      </w:r>
      <w:r>
        <w:rPr>
          <w:sz w:val="28"/>
          <w:szCs w:val="28"/>
          <w:lang w:val="ru-RU"/>
        </w:rPr>
        <w:t xml:space="preserve"> при закладах </w:t>
      </w:r>
      <w:r>
        <w:rPr>
          <w:sz w:val="28"/>
          <w:szCs w:val="28"/>
          <w:lang w:val="ru-RU"/>
        </w:rPr>
        <w:t xml:space="preserve">загальної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середньої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освіти</w:t>
      </w:r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34"/>
        <w:pBdr/>
        <w:shd w:val="clear" w:color="auto" w:fill="auto"/>
        <w:spacing w:line="240" w:lineRule="auto"/>
        <w:ind w:firstLine="5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реалізації Програми необхідною умовою є організація якісного та безпечного харчування, закупівля та фінансування, відновлення та модернізація харчоблоків. Дотрима</w:t>
      </w:r>
      <w:r>
        <w:rPr>
          <w:sz w:val="28"/>
          <w:szCs w:val="28"/>
          <w:lang w:val="uk-UA"/>
        </w:rPr>
        <w:t xml:space="preserve">ння вимог системи НАССР; розвиток кадрового потенціалу; упровадження нових норм харчування, меню, а також формування культури здорового харчування.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Style w:val="927"/>
        <w:pBdr/>
        <w:shd w:val="clear" w:color="auto" w:fill="ffffff"/>
        <w:spacing w:after="0" w:line="240" w:lineRule="auto"/>
        <w:ind w:left="0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  <w:t xml:space="preserve">6.1. Основні заходи Програми</w:t>
      </w: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r>
    </w:p>
    <w:p>
      <w:pPr>
        <w:pStyle w:val="927"/>
        <w:pBdr/>
        <w:shd w:val="clear" w:color="auto" w:fill="ffffff"/>
        <w:spacing w:after="0" w:line="240" w:lineRule="auto"/>
        <w:ind w:left="0"/>
        <w:jc w:val="center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tbl>
      <w:tblPr>
        <w:tblStyle w:val="935"/>
        <w:tblW w:w="9918" w:type="dxa"/>
        <w:jc w:val="center"/>
        <w:tblBorders/>
        <w:tblLook w:val="04A0" w:firstRow="1" w:lastRow="0" w:firstColumn="1" w:lastColumn="0" w:noHBand="0" w:noVBand="1"/>
      </w:tblPr>
      <w:tblGrid>
        <w:gridCol w:w="636"/>
        <w:gridCol w:w="5029"/>
        <w:gridCol w:w="2268"/>
        <w:gridCol w:w="1985"/>
      </w:tblGrid>
      <w:tr>
        <w:trPr>
          <w:jc w:val="center"/>
        </w:trPr>
        <w:tc>
          <w:tcPr>
            <w:tcBorders/>
            <w:tcW w:w="636" w:type="dxa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  <w:t xml:space="preserve">№ з/п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5029" w:type="dxa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  <w:t xml:space="preserve">Заходи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  <w:t xml:space="preserve">Виконавці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  <w:t xml:space="preserve">Термін виконання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</w:p>
        </w:tc>
      </w:tr>
      <w:tr>
        <w:trPr>
          <w:jc w:val="center"/>
        </w:trPr>
        <w:tc>
          <w:tcPr>
            <w:gridSpan w:val="4"/>
            <w:tcBorders/>
            <w:tcW w:w="9918" w:type="dxa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i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sz w:val="28"/>
                <w:szCs w:val="28"/>
                <w:lang w:eastAsia="uk-UA"/>
              </w:rPr>
              <w:t xml:space="preserve">1. Організаційне забезпечення</w:t>
            </w:r>
            <w:r>
              <w:rPr>
                <w:rFonts w:ascii="Times New Roman" w:hAnsi="Times New Roman" w:eastAsia="Times New Roman"/>
                <w:i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i/>
                <w:sz w:val="28"/>
                <w:szCs w:val="28"/>
                <w:lang w:eastAsia="uk-UA"/>
              </w:rPr>
            </w:r>
          </w:p>
        </w:tc>
      </w:tr>
      <w:tr>
        <w:trPr>
          <w:jc w:val="center"/>
        </w:trPr>
        <w:tc>
          <w:tcPr>
            <w:tcBorders/>
            <w:tcW w:w="636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1.1.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5029" w:type="dxa"/>
            <w:textDirection w:val="lrTb"/>
            <w:noWrap w:val="false"/>
          </w:tcPr>
          <w:p>
            <w:pPr>
              <w:pBdr/>
              <w:spacing w:line="240" w:lineRule="auto"/>
              <w:ind/>
              <w:jc w:val="both"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Удосконалення системи контролю за якістю харчування в закладах загальної середньої освіти Менської територіальної громади, удосконалення системи </w:t>
            </w:r>
            <w:r>
              <w:rPr>
                <w:sz w:val="28"/>
                <w:szCs w:val="28"/>
                <w:shd w:val="clear" w:color="auto" w:fill="ffffff"/>
              </w:rPr>
              <w:t xml:space="preserve">(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НАССР)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Відділ освіти, керівники ЗЗСО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Постійно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</w:tr>
      <w:tr>
        <w:trPr>
          <w:jc w:val="center"/>
        </w:trPr>
        <w:tc>
          <w:tcPr>
            <w:tcBorders/>
            <w:tcW w:w="636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1.2.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5029" w:type="dxa"/>
            <w:textDirection w:val="lrTb"/>
            <w:noWrap w:val="false"/>
          </w:tcPr>
          <w:p>
            <w:pPr>
              <w:pBdr/>
              <w:spacing w:line="240" w:lineRule="auto"/>
              <w:ind/>
              <w:jc w:val="both"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Систематичне оновлення інформаційних куточків для  батьків щодо харчування дітей.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Керівники ЗЗСО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Постійно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</w:tr>
      <w:tr>
        <w:trPr>
          <w:jc w:val="center"/>
        </w:trPr>
        <w:tc>
          <w:tcPr>
            <w:tcBorders/>
            <w:tcW w:w="636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1.3.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5029" w:type="dxa"/>
            <w:textDirection w:val="lrTb"/>
            <w:noWrap w:val="false"/>
          </w:tcPr>
          <w:p>
            <w:pPr>
              <w:pBdr/>
              <w:spacing w:line="240" w:lineRule="auto"/>
              <w:ind/>
              <w:jc w:val="both"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Оновлення бази даних дітей пільгових категорій, які потребують безоплатного або пільгового харчування.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Керівники ЗЗСО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Вересень, щорічно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</w:tr>
      <w:tr>
        <w:trPr>
          <w:jc w:val="center"/>
        </w:trPr>
        <w:tc>
          <w:tcPr>
            <w:tcBorders/>
            <w:tcW w:w="636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1.4.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5029" w:type="dxa"/>
            <w:textDirection w:val="lrTb"/>
            <w:noWrap w:val="false"/>
          </w:tcPr>
          <w:p>
            <w:pPr>
              <w:pBdr/>
              <w:spacing w:line="240" w:lineRule="auto"/>
              <w:ind/>
              <w:jc w:val="both"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Ор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ганізація та проведення нарад, семінарів з питань формування здорового способу життя.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Керівники ЗЗСО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Відповідно до плану роботи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</w:tr>
      <w:tr>
        <w:trPr>
          <w:jc w:val="center"/>
        </w:trPr>
        <w:tc>
          <w:tcPr>
            <w:tcBorders/>
            <w:tcW w:w="636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1.5.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5029" w:type="dxa"/>
            <w:textDirection w:val="lrTb"/>
            <w:noWrap w:val="false"/>
          </w:tcPr>
          <w:p>
            <w:pPr>
              <w:pBdr/>
              <w:spacing w:line="240" w:lineRule="auto"/>
              <w:ind/>
              <w:jc w:val="both"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Проведення публічних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закупівель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 продуктів харчування.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Керівники ЗЗСО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За потребою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</w:tr>
      <w:tr>
        <w:trPr>
          <w:jc w:val="center"/>
        </w:trPr>
        <w:tc>
          <w:tcPr>
            <w:tcBorders/>
            <w:tcW w:w="636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1.6.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5029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Забезпечення фінансування наданих виплат.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КУ «ЦООУЗО»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Постійно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</w:tr>
      <w:tr>
        <w:trPr>
          <w:jc w:val="center"/>
        </w:trPr>
        <w:tc>
          <w:tcPr>
            <w:gridSpan w:val="4"/>
            <w:tcBorders/>
            <w:tcW w:w="9918" w:type="dxa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i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sz w:val="28"/>
                <w:szCs w:val="28"/>
                <w:lang w:eastAsia="uk-UA"/>
              </w:rPr>
              <w:t xml:space="preserve">2.            Організація харчування в  закладах загальної середньої освіти</w:t>
            </w:r>
            <w:r>
              <w:rPr>
                <w:rFonts w:ascii="Times New Roman" w:hAnsi="Times New Roman" w:eastAsia="Times New Roman"/>
                <w:b/>
                <w:bCs/>
                <w:i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/>
                <w:bCs/>
                <w:i/>
                <w:sz w:val="28"/>
                <w:szCs w:val="28"/>
                <w:lang w:eastAsia="uk-UA"/>
              </w:rPr>
            </w:r>
          </w:p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i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sz w:val="28"/>
                <w:szCs w:val="28"/>
                <w:lang w:eastAsia="uk-UA"/>
              </w:rPr>
              <w:t xml:space="preserve">Менської територіальної громади</w:t>
            </w:r>
            <w:r>
              <w:rPr>
                <w:rFonts w:ascii="Times New Roman" w:hAnsi="Times New Roman" w:eastAsia="Times New Roman"/>
                <w:b/>
                <w:bCs/>
                <w:i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/>
                <w:bCs/>
                <w:i/>
                <w:sz w:val="28"/>
                <w:szCs w:val="28"/>
                <w:lang w:eastAsia="uk-UA"/>
              </w:rPr>
            </w:r>
          </w:p>
        </w:tc>
      </w:tr>
      <w:tr>
        <w:trPr>
          <w:jc w:val="center"/>
        </w:trPr>
        <w:tc>
          <w:tcPr>
            <w:tcBorders/>
            <w:tcW w:w="636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2.1.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5029" w:type="dxa"/>
            <w:textDirection w:val="lrTb"/>
            <w:noWrap w:val="false"/>
          </w:tcPr>
          <w:p>
            <w:pPr>
              <w:pStyle w:val="928"/>
              <w:pBdr/>
              <w:shd w:val="clear" w:color="auto" w:fill="ffffff"/>
              <w:spacing w:after="0" w:afterAutospacing="0" w:before="0" w:beforeAutospacing="0"/>
              <w:ind/>
              <w:jc w:val="both"/>
              <w:rPr/>
            </w:pPr>
            <w:r>
              <w:rPr>
                <w:b/>
                <w:sz w:val="28"/>
                <w:szCs w:val="28"/>
              </w:rPr>
              <w:t xml:space="preserve">Забезпечення  безоплатним гарячим харчуванням </w:t>
            </w:r>
            <w:r>
              <w:rPr>
                <w:sz w:val="28"/>
                <w:szCs w:val="28"/>
                <w:shd w:val="clear" w:color="auto" w:fill="ffffff"/>
              </w:rPr>
              <w:t xml:space="preserve">за рахунок коштів місцевого бюджету, відповідно до встановленого в закладі освіти режиму (кратності) харчування, для учнів закладу загальної середньої освіти </w:t>
            </w:r>
            <w:r>
              <w:rPr>
                <w:sz w:val="28"/>
                <w:szCs w:val="28"/>
              </w:rPr>
              <w:t xml:space="preserve">з числа:</w:t>
            </w:r>
            <w:r>
              <w:t xml:space="preserve"> </w:t>
            </w:r>
            <w:r/>
          </w:p>
          <w:p>
            <w:pPr>
              <w:pStyle w:val="928"/>
              <w:pBdr/>
              <w:shd w:val="clear" w:color="auto" w:fill="ffffff"/>
              <w:spacing w:after="0" w:afterAutospacing="0" w:before="0" w:beforeAutospacing="0"/>
              <w:ind w:firstLine="567"/>
              <w:jc w:val="both"/>
              <w:rPr>
                <w:sz w:val="28"/>
                <w:szCs w:val="28"/>
              </w:rPr>
            </w:pPr>
            <w:r/>
            <w:bookmarkStart w:id="0" w:name="n165"/>
            <w:r/>
            <w:bookmarkEnd w:id="0"/>
            <w:r>
              <w:rPr>
                <w:sz w:val="28"/>
                <w:szCs w:val="28"/>
              </w:rPr>
              <w:t xml:space="preserve">дітей-сиріт;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28"/>
              <w:pBdr/>
              <w:shd w:val="clear" w:color="auto" w:fill="ffffff"/>
              <w:spacing w:after="0" w:afterAutospacing="0" w:before="0" w:beforeAutospacing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дітей, позбавлених батьківського піклування;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28"/>
              <w:pBdr/>
              <w:shd w:val="clear" w:color="auto" w:fill="ffffff"/>
              <w:spacing w:after="0" w:afterAutospacing="0" w:before="0" w:beforeAutospacing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дітей з особливими освітніми п</w:t>
            </w:r>
            <w:r>
              <w:rPr>
                <w:sz w:val="28"/>
                <w:szCs w:val="28"/>
              </w:rPr>
              <w:t xml:space="preserve">отребами, які навчаються у спеціальних та інклюзивних класах (групах);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28"/>
              <w:pBdr/>
              <w:shd w:val="clear" w:color="auto" w:fill="ffffff"/>
              <w:spacing w:after="0" w:afterAutospacing="0" w:before="0" w:beforeAutospacing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дітей із сімей, які отримують допомогу відповідно до </w:t>
            </w:r>
            <w:hyperlink r:id="rId17" w:tooltip="https://zakon.rada.gov.ua/laws/show/1768-14" w:history="1">
              <w:r>
                <w:rPr>
                  <w:rStyle w:val="924"/>
                  <w:rFonts w:eastAsia="Arial"/>
                  <w:color w:val="auto"/>
                  <w:sz w:val="28"/>
                  <w:szCs w:val="28"/>
                  <w:u w:val="none"/>
                </w:rPr>
                <w:t xml:space="preserve">Закону України</w:t>
              </w:r>
            </w:hyperlink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«Про дер</w:t>
            </w:r>
            <w:r>
              <w:rPr>
                <w:sz w:val="28"/>
                <w:szCs w:val="28"/>
              </w:rPr>
              <w:t xml:space="preserve">жавну соціальну допомогу малозабезпеченим сім’ям»;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28"/>
              <w:pBdr/>
              <w:shd w:val="clear" w:color="auto" w:fill="ffffff"/>
              <w:spacing w:after="0" w:afterAutospacing="0" w:before="0" w:beforeAutospacing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учнів закладів освіти, розташованих на територіях радіоактивного забруднення, а також дітей, евакуйованих із зони відчуження, дітей, які є особами з інвалідністю внаслідок Чорнобильської катастрофи, і тих,</w:t>
            </w:r>
            <w:r>
              <w:rPr>
                <w:sz w:val="28"/>
                <w:szCs w:val="28"/>
              </w:rPr>
              <w:t xml:space="preserve"> що проживали у зоні безумовного (обов’язкового) відселення з моменту аварії до прийняття постанови про відселення, відповідно до </w:t>
            </w:r>
            <w:hyperlink r:id="rId18" w:tooltip="https://zakon.rada.gov.ua/laws/show/796-12" w:history="1">
              <w:r>
                <w:rPr>
                  <w:rStyle w:val="924"/>
                  <w:rFonts w:eastAsia="Arial"/>
                  <w:color w:val="auto"/>
                  <w:sz w:val="28"/>
                  <w:szCs w:val="28"/>
                  <w:u w:val="none"/>
                </w:rPr>
                <w:t xml:space="preserve">Закону України</w:t>
              </w:r>
            </w:hyperlink>
            <w:r>
              <w:rPr>
                <w:sz w:val="28"/>
                <w:szCs w:val="28"/>
              </w:rPr>
              <w:t xml:space="preserve"> «Про статус і соціальний захист громадян, які постраждали внаслідок Чорнобильської катастрофи»;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28"/>
              <w:pBdr/>
              <w:shd w:val="clear" w:color="auto" w:fill="ffffff"/>
              <w:spacing w:after="0" w:afterAutospacing="0" w:before="0" w:beforeAutospacing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дітей з числа внутрішньо переміщених осіб, діти, які мають статус дитини, яка постраждала внаслідок воєнних дій і збройних конфліктів;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28"/>
              <w:pBdr/>
              <w:shd w:val="clear" w:color="auto" w:fill="ffffff"/>
              <w:spacing w:after="0" w:afterAutospacing="0" w:before="0" w:beforeAutospacing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дітей з числа осіб, </w:t>
            </w:r>
            <w:r>
              <w:rPr>
                <w:sz w:val="28"/>
                <w:szCs w:val="28"/>
                <w:shd w:val="clear" w:color="auto" w:fill="ffffff"/>
              </w:rPr>
              <w:t xml:space="preserve">заги</w:t>
            </w:r>
            <w:r>
              <w:rPr>
                <w:sz w:val="28"/>
                <w:szCs w:val="28"/>
                <w:shd w:val="clear" w:color="auto" w:fill="ffffff"/>
              </w:rPr>
              <w:t xml:space="preserve">блих (померлих) ветеранів війни </w:t>
            </w:r>
            <w:r>
              <w:rPr>
                <w:sz w:val="28"/>
                <w:szCs w:val="28"/>
                <w:shd w:val="clear" w:color="auto" w:fill="ffffff"/>
              </w:rPr>
              <w:t xml:space="preserve">(</w:t>
            </w:r>
            <w:hyperlink r:id="rId19" w:tooltip="https://zakon.rada.gov.ua/laws/show/3551-12#n147" w:anchor="n147" w:history="1">
              <w:r>
                <w:rPr>
                  <w:rStyle w:val="924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стаття 10</w:t>
              </w:r>
            </w:hyperlink>
            <w:r>
              <w:rPr>
                <w:sz w:val="28"/>
                <w:szCs w:val="28"/>
                <w:shd w:val="clear" w:color="auto" w:fill="ffffff"/>
              </w:rPr>
              <w:t xml:space="preserve">)</w:t>
            </w:r>
            <w:r>
              <w:rPr>
                <w:sz w:val="28"/>
                <w:szCs w:val="28"/>
                <w:shd w:val="clear" w:color="auto" w:fill="ffffff"/>
              </w:rPr>
              <w:t xml:space="preserve"> та загиблих (померлих) Захисників і Захисниць України </w:t>
            </w:r>
            <w:r>
              <w:rPr>
                <w:sz w:val="28"/>
                <w:szCs w:val="28"/>
                <w:shd w:val="clear" w:color="auto" w:fill="ffffff"/>
              </w:rPr>
              <w:t xml:space="preserve">(</w:t>
            </w:r>
            <w:hyperlink r:id="rId20" w:tooltip="https://zakon.rada.gov.ua/laws/show/3551-12#n656" w:anchor="n656" w:history="1">
              <w:r>
                <w:rPr>
                  <w:rStyle w:val="924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стаття10</w:t>
              </w:r>
            </w:hyperlink>
            <w:r/>
            <w:hyperlink r:id="rId21" w:tooltip="https://zakon.rada.gov.ua/laws/show/3551-12#n656" w:anchor="n656" w:history="1">
              <w:r>
                <w:rPr>
                  <w:rStyle w:val="924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  <w:vertAlign w:val="superscript"/>
                </w:rPr>
                <w:t xml:space="preserve">1</w:t>
              </w:r>
            </w:hyperlink>
            <w:r>
              <w:rPr>
                <w:sz w:val="28"/>
                <w:szCs w:val="28"/>
                <w:shd w:val="clear" w:color="auto" w:fill="ffffff"/>
              </w:rPr>
              <w:t xml:space="preserve">) </w:t>
            </w:r>
            <w:r>
              <w:rPr>
                <w:sz w:val="28"/>
                <w:szCs w:val="28"/>
              </w:rPr>
              <w:t xml:space="preserve"> відповідно до Закону </w:t>
            </w:r>
            <w:r>
              <w:rPr>
                <w:sz w:val="28"/>
                <w:szCs w:val="28"/>
              </w:rPr>
              <w:t xml:space="preserve">України </w:t>
            </w:r>
            <w:r>
              <w:rPr>
                <w:sz w:val="28"/>
                <w:szCs w:val="28"/>
              </w:rPr>
              <w:t xml:space="preserve">«Про статус ветеранів війни, гарантії їх соціального захисту»;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27"/>
              <w:pBdr/>
              <w:tabs>
                <w:tab w:val="left" w:leader="none" w:pos="425"/>
              </w:tabs>
              <w:spacing w:line="240" w:lineRule="auto"/>
              <w:ind w:firstLine="567" w:left="0"/>
              <w:jc w:val="both"/>
              <w:rPr>
                <w:rFonts w:ascii="Times New Roman" w:hAnsi="Times New Roman" w:eastAsia="Batang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дітей осіб, які мають статус «учасник бойових дій»</w:t>
            </w:r>
            <w:r>
              <w:rPr>
                <w:rFonts w:ascii="Times New Roman" w:hAnsi="Times New Roman" w:eastAsia="Batang"/>
                <w:sz w:val="28"/>
                <w:szCs w:val="28"/>
                <w:lang w:eastAsia="ru-RU"/>
              </w:rPr>
              <w:t xml:space="preserve">;</w:t>
            </w:r>
            <w:r>
              <w:rPr>
                <w:rFonts w:ascii="Times New Roman" w:hAnsi="Times New Roman" w:eastAsia="Batang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Batang"/>
                <w:sz w:val="28"/>
                <w:szCs w:val="28"/>
                <w:lang w:eastAsia="ru-RU"/>
              </w:rPr>
            </w:r>
          </w:p>
          <w:p>
            <w:pPr>
              <w:pStyle w:val="927"/>
              <w:pBdr/>
              <w:tabs>
                <w:tab w:val="left" w:leader="none" w:pos="425"/>
              </w:tabs>
              <w:spacing w:line="240" w:lineRule="auto"/>
              <w:ind w:firstLine="567"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uk-UA"/>
              </w:rPr>
              <w:t xml:space="preserve">дітей військовослужбовців Збройних Сил України, інших військових формувань; співробітників Національної поліції, залучених до виконання завда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uk-UA"/>
              </w:rPr>
              <w:t xml:space="preserve">нь в зоні бойових дій (на період дії воєнного стану в Україні);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uk-UA"/>
              </w:rPr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uk-UA"/>
              </w:rPr>
            </w:r>
          </w:p>
          <w:p>
            <w:pPr>
              <w:pStyle w:val="927"/>
              <w:pBdr/>
              <w:tabs>
                <w:tab w:val="left" w:leader="none" w:pos="425"/>
              </w:tabs>
              <w:spacing w:line="240" w:lineRule="auto"/>
              <w:ind w:firstLine="567"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Batang"/>
                <w:sz w:val="28"/>
                <w:szCs w:val="28"/>
                <w:lang w:eastAsia="ru-RU"/>
              </w:rPr>
              <w:t xml:space="preserve">дітей 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uk-UA"/>
              </w:rPr>
              <w:t xml:space="preserve">осіб, які належать до осіб з інвалідністю внаслідок війни;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uk-UA"/>
              </w:rPr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uk-UA"/>
              </w:rPr>
            </w:r>
          </w:p>
          <w:p>
            <w:pPr>
              <w:pStyle w:val="927"/>
              <w:pBdr/>
              <w:tabs>
                <w:tab w:val="left" w:leader="none" w:pos="425"/>
              </w:tabs>
              <w:spacing w:line="240" w:lineRule="auto"/>
              <w:ind w:firstLine="567" w:left="0"/>
              <w:jc w:val="both"/>
              <w:rPr>
                <w:rFonts w:ascii="Times New Roman" w:hAnsi="Times New Roman" w:eastAsia="Batang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Batang"/>
                <w:sz w:val="28"/>
                <w:szCs w:val="28"/>
                <w:lang w:eastAsia="ru-RU"/>
              </w:rPr>
              <w:t xml:space="preserve">дітей з інвалідністю;</w:t>
            </w:r>
            <w:r>
              <w:rPr>
                <w:rFonts w:ascii="Times New Roman" w:hAnsi="Times New Roman" w:eastAsia="Batang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Batang"/>
                <w:sz w:val="28"/>
                <w:szCs w:val="28"/>
                <w:lang w:eastAsia="ru-RU"/>
              </w:rPr>
            </w:r>
          </w:p>
          <w:p>
            <w:pPr>
              <w:pStyle w:val="927"/>
              <w:pBdr/>
              <w:tabs>
                <w:tab w:val="left" w:leader="none" w:pos="425"/>
              </w:tabs>
              <w:spacing w:line="240" w:lineRule="auto"/>
              <w:ind w:firstLine="567" w:left="0"/>
              <w:jc w:val="both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 w:eastAsia="Batang"/>
                <w:sz w:val="28"/>
                <w:szCs w:val="28"/>
                <w:lang w:eastAsia="ru-RU"/>
              </w:rPr>
              <w:t xml:space="preserve">у виняткових випадках (в разі, якщо сім’я опинилась в складних життєвих обставинах або батьки неспромо</w:t>
            </w: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жні з поважних причин сплачувати за харчування дітей та інших випадках) за погодженням виконавчого комітету Менської міської ради (при наявності підтверджуючих документів, заяви одного з батьків та за пропозицією відділу освіти Менської міської ради)).</w:t>
            </w:r>
            <w:r>
              <w:rPr>
                <w:rFonts w:ascii="Times New Roman" w:hAnsi="Times New Roman"/>
                <w:lang w:eastAsia="uk-UA"/>
              </w:rPr>
            </w:r>
            <w:r>
              <w:rPr>
                <w:rFonts w:ascii="Times New Roman" w:hAnsi="Times New Roman"/>
                <w:lang w:eastAsia="uk-UA"/>
              </w:rPr>
            </w:r>
          </w:p>
          <w:p>
            <w:pPr>
              <w:pBdr/>
              <w:tabs>
                <w:tab w:val="left" w:leader="none" w:pos="426"/>
                <w:tab w:val="left" w:leader="none" w:pos="851"/>
              </w:tabs>
              <w:spacing w:line="240" w:lineRule="auto"/>
              <w:ind w:firstLine="567"/>
              <w:jc w:val="both"/>
              <w:rPr>
                <w:rStyle w:val="929"/>
              </w:rPr>
            </w:pPr>
            <w:r>
              <w:rPr>
                <w:rStyle w:val="929"/>
                <w:rFonts w:ascii="Times New Roman" w:hAnsi="Times New Roman"/>
                <w:sz w:val="28"/>
                <w:szCs w:val="28"/>
              </w:rPr>
              <w:t xml:space="preserve">Гар</w:t>
            </w:r>
            <w:r>
              <w:rPr>
                <w:rStyle w:val="929"/>
                <w:rFonts w:ascii="Times New Roman" w:hAnsi="Times New Roman"/>
                <w:sz w:val="28"/>
                <w:szCs w:val="28"/>
              </w:rPr>
              <w:t xml:space="preserve">ячим харчуванням, з </w:t>
            </w:r>
            <w:r>
              <w:rPr>
                <w:rStyle w:val="929"/>
                <w:rFonts w:ascii="Times New Roman" w:hAnsi="Times New Roman"/>
                <w:b/>
                <w:sz w:val="28"/>
                <w:szCs w:val="28"/>
              </w:rPr>
              <w:t xml:space="preserve">оплатою в розмірі 50% від вартості харчування</w:t>
            </w:r>
            <w:r>
              <w:rPr>
                <w:rStyle w:val="929"/>
                <w:rFonts w:ascii="Times New Roman" w:hAnsi="Times New Roman"/>
                <w:sz w:val="28"/>
                <w:szCs w:val="28"/>
              </w:rPr>
              <w:t xml:space="preserve">, забезпечуються діти з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 сімей в яких троє і більше дітей до 18 років.</w:t>
            </w:r>
            <w:r>
              <w:rPr>
                <w:rStyle w:val="929"/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Style w:val="929"/>
              </w:rPr>
            </w:r>
            <w:r>
              <w:rPr>
                <w:rStyle w:val="929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eastAsia="Times New Roman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Відділ освіти,</w:t>
            </w:r>
            <w:r>
              <w:rPr>
                <w:rFonts w:eastAsia="Times New Roman"/>
                <w:lang w:eastAsia="uk-UA"/>
              </w:rPr>
            </w:r>
            <w:r>
              <w:rPr>
                <w:rFonts w:eastAsia="Times New Roman"/>
                <w:lang w:eastAsia="uk-UA"/>
              </w:rPr>
            </w:r>
          </w:p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керівники ЗЗСО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Протягом навчального року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</w:tr>
      <w:tr>
        <w:trPr>
          <w:jc w:val="center"/>
        </w:trPr>
        <w:tc>
          <w:tcPr>
            <w:tcBorders/>
            <w:tcW w:w="636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2.2.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5029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Дотримання санітарно-гігієнічних норм щодо організації харчування, оптимального режиму роботи харчоблоків.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Керівники ЗЗСО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Постійно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</w:tr>
      <w:tr>
        <w:trPr>
          <w:jc w:val="center"/>
        </w:trPr>
        <w:tc>
          <w:tcPr>
            <w:tcBorders/>
            <w:tcW w:w="636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2.3.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5029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Проведення перевірок щодо організації харчування в закладах загальної середньої освіти.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Відділ освіти, керівники ЗЗСО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Згідно плану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</w:tr>
      <w:tr>
        <w:trPr>
          <w:jc w:val="center"/>
        </w:trPr>
        <w:tc>
          <w:tcPr>
            <w:tcBorders/>
            <w:tcW w:w="636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2.4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5029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Розподіл коштів на організацію              безоплатного та пільгового гарячого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харчування здобувачів освіти, облік і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звітність за використання коштів, які                                                                                  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               виділяються на безоплатне та пільгове харчування в ЗЗСО 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Відділ освіти, КУ «ЦООУЗО» Менської міської ради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Протягом навчального року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</w:tr>
      <w:tr>
        <w:trPr>
          <w:jc w:val="center"/>
        </w:trPr>
        <w:tc>
          <w:tcPr>
            <w:tcBorders/>
            <w:tcW w:w="636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2.5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5029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Забезпечення безоплатним одноразовим гарячим харчуванням учнів1-4 класів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закладів загальної середньої освіти громади, у яких процес навчання організовано за очною формою або з поєднанням очної і дистанційної форми, за рахунок субвенції з державного бюджету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Відділ освіти, КУ «ЦООУЗО» Менської міської ради, керівники ЗЗСО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Протяг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ом навчального року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</w:tr>
      <w:tr>
        <w:trPr>
          <w:jc w:val="center"/>
          <w:trHeight w:val="703"/>
        </w:trPr>
        <w:tc>
          <w:tcPr>
            <w:gridSpan w:val="4"/>
            <w:tcBorders/>
            <w:tcW w:w="9918" w:type="dxa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i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color w:val="000000" w:themeColor="text1"/>
                <w:sz w:val="28"/>
                <w:szCs w:val="28"/>
                <w:lang w:eastAsia="uk-UA"/>
              </w:rPr>
              <w:t xml:space="preserve">3. Підвищення якості харчування в закладах загальної середньої освіти</w:t>
            </w:r>
            <w:r>
              <w:rPr>
                <w:rFonts w:ascii="Times New Roman" w:hAnsi="Times New Roman" w:eastAsia="Times New Roman"/>
                <w:b/>
                <w:bCs/>
                <w:i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/>
                <w:bCs/>
                <w:i/>
                <w:color w:val="000000" w:themeColor="text1"/>
                <w:sz w:val="28"/>
                <w:szCs w:val="28"/>
                <w:lang w:eastAsia="uk-UA"/>
              </w:rPr>
            </w:r>
          </w:p>
          <w:p>
            <w:pPr>
              <w:pStyle w:val="927"/>
              <w:pBdr/>
              <w:spacing w:line="240" w:lineRule="auto"/>
              <w:ind w:left="0"/>
              <w:jc w:val="center"/>
              <w:rPr>
                <w:rFonts w:ascii="Times New Roman" w:hAnsi="Times New Roman" w:eastAsia="Times New Roman"/>
                <w:i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color w:val="000000" w:themeColor="text1"/>
                <w:sz w:val="28"/>
                <w:szCs w:val="28"/>
                <w:lang w:eastAsia="uk-UA"/>
              </w:rPr>
              <w:t xml:space="preserve">Менської ТГ</w:t>
            </w:r>
            <w:r>
              <w:rPr>
                <w:rFonts w:ascii="Times New Roman" w:hAnsi="Times New Roman" w:eastAsia="Times New Roman"/>
                <w:i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i/>
                <w:color w:val="000000" w:themeColor="text1"/>
                <w:sz w:val="28"/>
                <w:szCs w:val="28"/>
                <w:lang w:eastAsia="uk-UA"/>
              </w:rPr>
            </w:r>
          </w:p>
        </w:tc>
      </w:tr>
      <w:tr>
        <w:trPr>
          <w:jc w:val="center"/>
        </w:trPr>
        <w:tc>
          <w:tcPr>
            <w:tcBorders/>
            <w:tcW w:w="636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3.1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5029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Розширення асортименту страв.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Заклади освіти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2025-2027 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р.р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</w:p>
        </w:tc>
      </w:tr>
      <w:tr>
        <w:trPr>
          <w:jc w:val="center"/>
        </w:trPr>
        <w:tc>
          <w:tcPr>
            <w:tcBorders/>
            <w:tcW w:w="636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3.2.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5029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Розробка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примірного чотиритижневого сезонного меню - документ, що містить набір страв, вихід (масу) їх порцій для різних вікових груп, враховує особливі дієтичні потреби здобувачів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освіти/дітей (у разі наявності), сезонність (осінь, зима, весна, літо).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Заклади осві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ти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Щорічно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</w:p>
        </w:tc>
      </w:tr>
      <w:tr>
        <w:trPr>
          <w:jc w:val="center"/>
        </w:trPr>
        <w:tc>
          <w:tcPr>
            <w:tcBorders/>
            <w:tcW w:w="636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3.3.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5029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Контроль за якістю та безпекою, дотриманням термінів, умов зберігання та реалізації продуктів, за поставкою продуктів харчування   з наявністю сертифікатів відповідності, посвідчень про якість і супровідних документів.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Заклади освіти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Пості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йно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</w:p>
        </w:tc>
      </w:tr>
      <w:tr>
        <w:trPr>
          <w:jc w:val="center"/>
        </w:trPr>
        <w:tc>
          <w:tcPr>
            <w:tcBorders/>
            <w:tcW w:w="636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3.4.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5029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Організація роботи щодо підготовки харчоблоків закладів загальної середньої освіти до початку нового навчального року.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Відділ освіти, КУ «ЦООУЗО» Менської міської ради, керівники ЗЗСО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2025-2027 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р.р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.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</w:p>
        </w:tc>
      </w:tr>
      <w:tr>
        <w:trPr>
          <w:jc w:val="center"/>
        </w:trPr>
        <w:tc>
          <w:tcPr>
            <w:gridSpan w:val="4"/>
            <w:tcBorders/>
            <w:tcW w:w="9918" w:type="dxa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b/>
                <w:i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4. Організація харчування в пришкільних табора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/>
                <w:b/>
                <w:i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/>
                <w:i/>
                <w:color w:val="000000" w:themeColor="text1"/>
                <w:sz w:val="28"/>
                <w:szCs w:val="28"/>
                <w:lang w:eastAsia="uk-UA"/>
              </w:rPr>
            </w:r>
          </w:p>
        </w:tc>
      </w:tr>
      <w:tr>
        <w:trPr>
          <w:jc w:val="center"/>
        </w:trPr>
        <w:tc>
          <w:tcPr>
            <w:tcBorders/>
            <w:tcW w:w="636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4.1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5029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shd w:val="clear" w:color="auto" w:fill="ffffff"/>
                <w:lang w:eastAsia="uk-UA"/>
              </w:rPr>
              <w:t xml:space="preserve">Організація відпочинку дітей шкільного віку в пришкільних таборах,  створених на базі закладів загальної середньої освіти  (організація щоденного харчування учнів).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Відділ освіти, КУ «ЦООУЗО» Менської міської ради, керівники ЗЗСО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2025-2027 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р.р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.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</w:p>
        </w:tc>
      </w:tr>
      <w:tr>
        <w:trPr>
          <w:jc w:val="center"/>
        </w:trPr>
        <w:tc>
          <w:tcPr>
            <w:tcBorders/>
            <w:tcW w:w="636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4.2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5029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Batang"/>
                <w:sz w:val="28"/>
                <w:szCs w:val="28"/>
                <w:lang w:eastAsia="ru-RU"/>
              </w:rPr>
              <w:t xml:space="preserve">Організація  контролю за дотриманням норм харчування, вимог санітарного законодавства та законодавства про безпечність та окремі показники якості харчових продуктів.  (НАССР).</w:t>
            </w:r>
            <w:r>
              <w:rPr>
                <w:rFonts w:ascii="Times New Roman" w:hAnsi="Times New Roman" w:eastAsia="Times New Roman"/>
                <w:sz w:val="28"/>
                <w:szCs w:val="28"/>
                <w:shd w:val="clear" w:color="auto" w:fill="ffffff"/>
                <w:lang w:eastAsia="uk-UA"/>
              </w:rPr>
              <w:t xml:space="preserve">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керівники ЗЗСО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2025-2027 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р.р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.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</w:p>
        </w:tc>
      </w:tr>
      <w:tr>
        <w:trPr>
          <w:jc w:val="center"/>
        </w:trPr>
        <w:tc>
          <w:tcPr>
            <w:tcBorders/>
            <w:tcW w:w="636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4.3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5029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Проведення інформаційно-просвітницьких проф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ілактичних заходів з дітьми щодо пропаганди здорового способу життя, збереження репродуктивного здоров'я,     здорового харчування(бесід, лекцій, тренінгів, анкетувань)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керівники ЗЗСО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2025-2027 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р.р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  <w:t xml:space="preserve">.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lang w:eastAsia="uk-UA"/>
              </w:rPr>
            </w:r>
          </w:p>
        </w:tc>
      </w:tr>
    </w:tbl>
    <w:p>
      <w:pPr>
        <w:pBdr/>
        <w:shd w:val="clear" w:color="auto" w:fill="ffffff"/>
        <w:spacing w:after="0" w:line="240" w:lineRule="auto"/>
        <w:ind w:left="721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r>
    </w:p>
    <w:p>
      <w:pPr>
        <w:pBdr/>
        <w:shd w:val="clear" w:color="auto" w:fill="ffffff"/>
        <w:spacing w:after="0" w:line="240" w:lineRule="auto"/>
        <w:ind w:left="721"/>
        <w:jc w:val="center"/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  <w:t xml:space="preserve">7</w:t>
      </w: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  <w:t xml:space="preserve">. </w:t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  <w:t xml:space="preserve">Очікувані результати   виконання   Програми,   </w:t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r>
    </w:p>
    <w:p>
      <w:pPr>
        <w:pBdr/>
        <w:shd w:val="clear" w:color="auto" w:fill="ffffff"/>
        <w:spacing w:after="0" w:line="240" w:lineRule="auto"/>
        <w:ind w:left="721"/>
        <w:jc w:val="center"/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pP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  <w:t xml:space="preserve">визначення  її </w:t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  <w:t xml:space="preserve">ефективності</w:t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r>
    </w:p>
    <w:p>
      <w:pPr>
        <w:pBdr/>
        <w:shd w:val="clear" w:color="auto" w:fill="ffffff"/>
        <w:spacing w:after="0" w:line="240" w:lineRule="auto"/>
        <w:ind w:left="721"/>
        <w:jc w:val="center"/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pP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r>
    </w:p>
    <w:p>
      <w:pPr>
        <w:pBdr/>
        <w:shd w:val="clear" w:color="auto" w:fill="ffffff"/>
        <w:spacing w:after="0" w:line="240" w:lineRule="auto"/>
        <w:ind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  <w:t xml:space="preserve">Реалізація основних завдань Програми забезпечить:</w:t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numPr>
          <w:ilvl w:val="0"/>
          <w:numId w:val="7"/>
        </w:num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створення умов, що сприяють зміцненню здоров’я учнів закладів загальної середньої освіти, їхньому гармонійному розвитку;</w:t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numPr>
          <w:ilvl w:val="0"/>
          <w:numId w:val="7"/>
        </w:num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забезпече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ння якісного, збалансованого та повноцінного харчування учнів закладів загальної середньої освіти;</w:t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Style w:val="927"/>
        <w:numPr>
          <w:ilvl w:val="0"/>
          <w:numId w:val="7"/>
        </w:numPr>
        <w:pBdr/>
        <w:spacing w:after="0" w:line="240" w:lineRule="auto"/>
        <w:ind/>
        <w:jc w:val="both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забезпечення  безоплатним гарячим харчуванням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 рахунок коштів місцевого бюджету, відповідно до встановленого в закладі освіти режиму (кратності) харчування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учнів закладу загальної середньої освіти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 з числа категорій визначених даною Програмою;</w:t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Style w:val="927"/>
        <w:numPr>
          <w:ilvl w:val="0"/>
          <w:numId w:val="7"/>
        </w:numPr>
        <w:pBdr/>
        <w:tabs>
          <w:tab w:val="left" w:leader="none" w:pos="426"/>
          <w:tab w:val="left" w:leader="none" w:pos="851"/>
        </w:tabs>
        <w:spacing w:after="0" w:line="240" w:lineRule="auto"/>
        <w:ind w:right="-141"/>
        <w:jc w:val="both"/>
        <w:rPr>
          <w:rStyle w:val="929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забезпечення пільговим гарячим харчуванням з оплатою в розмірі 50% від вартості харчування (діти з сімей в яких троє і більше дітей до 18 років)</w:t>
      </w:r>
      <w:r>
        <w:rPr>
          <w:rStyle w:val="929"/>
          <w:rFonts w:ascii="Times New Roman" w:hAnsi="Times New Roman"/>
          <w:sz w:val="28"/>
          <w:szCs w:val="28"/>
        </w:rPr>
        <w:t xml:space="preserve">;</w:t>
      </w:r>
      <w:r>
        <w:rPr>
          <w:rStyle w:val="929"/>
        </w:rPr>
      </w:r>
      <w:r>
        <w:rPr>
          <w:rStyle w:val="929"/>
        </w:rPr>
      </w:r>
    </w:p>
    <w:p>
      <w:pPr>
        <w:numPr>
          <w:ilvl w:val="0"/>
          <w:numId w:val="7"/>
        </w:numPr>
        <w:pBdr/>
        <w:shd w:val="clear" w:color="auto" w:fill="ffffff"/>
        <w:spacing w:after="0" w:line="240" w:lineRule="auto"/>
        <w:ind/>
        <w:jc w:val="both"/>
        <w:rPr>
          <w:rFonts w:eastAsia="Times New Roman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раціональне та ефекти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вне використання бюджетних коштів;</w:t>
      </w:r>
      <w:r>
        <w:rPr>
          <w:rFonts w:eastAsia="Times New Roman"/>
          <w:lang w:eastAsia="uk-UA"/>
        </w:rPr>
      </w:r>
      <w:r>
        <w:rPr>
          <w:rFonts w:eastAsia="Times New Roman"/>
          <w:lang w:eastAsia="uk-UA"/>
        </w:rPr>
      </w:r>
    </w:p>
    <w:p>
      <w:pPr>
        <w:numPr>
          <w:ilvl w:val="0"/>
          <w:numId w:val="7"/>
        </w:num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формування навичок правильного та здорового харчування.</w:t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Bdr/>
        <w:shd w:val="clear" w:color="auto" w:fill="ffffff"/>
        <w:spacing w:after="0" w:line="240" w:lineRule="auto"/>
        <w:ind w:left="721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r>
    </w:p>
    <w:p>
      <w:pPr>
        <w:pBdr/>
        <w:shd w:val="clear" w:color="auto" w:fill="ffffff"/>
        <w:spacing w:after="0" w:line="240" w:lineRule="auto"/>
        <w:ind w:left="721"/>
        <w:jc w:val="center"/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  <w:t xml:space="preserve">8</w:t>
      </w: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  <w:t xml:space="preserve">. </w:t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  <w:t xml:space="preserve">Оцінка фінансових,  матеріально-технічних, трудових ресурсів, </w:t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  <w:br/>
        <w:t xml:space="preserve">необхідних для виконання Програми</w:t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color w:val="212529"/>
          <w:sz w:val="28"/>
          <w:szCs w:val="28"/>
          <w:lang w:eastAsia="uk-UA"/>
        </w:rPr>
      </w:r>
    </w:p>
    <w:p>
      <w:pPr>
        <w:pBdr/>
        <w:shd w:val="clear" w:color="auto" w:fill="ffffff"/>
        <w:spacing w:after="0" w:line="240" w:lineRule="auto"/>
        <w:ind w:left="721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r>
    </w:p>
    <w:p>
      <w:pPr>
        <w:pBdr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Batang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Фінансування Програми здійснюється за рахунок коштів бюджету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 Менської міської територіальної громади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, а також за рахунок інших джерел, не заборонених законодавством України. 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При цьому обсяг коштів визна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чається під час формування бюджету з урахуванням його фінансових можливостей та може змінюватися в процесі виконання бюджету при внесенні змін до нього.  </w:t>
      </w:r>
      <w:r>
        <w:rPr>
          <w:rFonts w:ascii="Times New Roman" w:hAnsi="Times New Roman" w:eastAsia="Batang"/>
          <w:sz w:val="28"/>
          <w:szCs w:val="28"/>
          <w:lang w:eastAsia="ru-RU"/>
        </w:rPr>
      </w:r>
      <w:r>
        <w:rPr>
          <w:rFonts w:ascii="Times New Roman" w:hAnsi="Times New Roman" w:eastAsia="Batang"/>
          <w:sz w:val="28"/>
          <w:szCs w:val="28"/>
          <w:lang w:eastAsia="ru-RU"/>
        </w:rPr>
      </w:r>
    </w:p>
    <w:p>
      <w:pPr>
        <w:pBdr/>
        <w:spacing w:after="0" w:line="240" w:lineRule="auto"/>
        <w:ind w:right="-141" w:firstLine="567"/>
        <w:jc w:val="both"/>
        <w:rPr>
          <w:rFonts w:ascii="Times New Roman" w:hAnsi="Times New Roman" w:eastAsia="Batang"/>
          <w:lang w:eastAsia="ru-RU"/>
        </w:rPr>
      </w:pPr>
      <w:r>
        <w:rPr>
          <w:rFonts w:ascii="Times New Roman" w:hAnsi="Times New Roman" w:eastAsia="Batang"/>
          <w:sz w:val="28"/>
          <w:szCs w:val="28"/>
          <w:lang w:eastAsia="ru-RU"/>
        </w:rPr>
        <w:t xml:space="preserve">Орієнтовні обсяги та джерела фінансування Програми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організації харчування дітей в закладах загальної середньої освіти Менської міської ради на 2025-2027 роки визначені в Паспорті Програми.</w:t>
      </w:r>
      <w:r>
        <w:rPr>
          <w:rFonts w:ascii="Times New Roman" w:hAnsi="Times New Roman" w:eastAsia="Batang"/>
          <w:lang w:eastAsia="ru-RU"/>
        </w:rPr>
      </w:r>
      <w:r>
        <w:rPr>
          <w:rFonts w:ascii="Times New Roman" w:hAnsi="Times New Roman" w:eastAsia="Batang"/>
          <w:lang w:eastAsia="ru-RU"/>
        </w:rPr>
      </w:r>
    </w:p>
    <w:p>
      <w:pPr>
        <w:pBdr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Враховуючи те, що протягом року може змінюватись кількість дітей, які відвідують заклади загальної середньої освіти, а також кількість дітей, яким надається безоплатне та пільгове гаряче харчування, суми на харчування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 переглядаються та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 виділяються згідно фактичної кількості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 осіб.</w:t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Bdr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Відділ освіти за підсумками кожного року подає звіт про виконання Програми та вносить пропозиції щодо потреби в коштах на наступний рік, до кінця дії Програми.</w:t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Bdr/>
        <w:spacing w:after="0" w:line="240" w:lineRule="auto"/>
        <w:ind w:right="-141" w:firstLine="567"/>
        <w:jc w:val="both"/>
        <w:rPr>
          <w:rFonts w:ascii="Times New Roman" w:hAnsi="Times New Roman" w:eastAsia="Batang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основу розрахунку потреби коштів,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 необхідних для реалізації даної Програми у 2025-2027 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роках для забезпечення харчування учнів у закладах загальної середньої освіти протягом навчального року, покладено наступні вимоги:</w:t>
      </w:r>
      <w:r>
        <w:rPr>
          <w:rFonts w:ascii="Times New Roman" w:hAnsi="Times New Roman" w:eastAsia="Batang"/>
          <w:sz w:val="28"/>
          <w:szCs w:val="28"/>
          <w:lang w:eastAsia="ru-RU"/>
        </w:rPr>
      </w:r>
      <w:r>
        <w:rPr>
          <w:rFonts w:ascii="Times New Roman" w:hAnsi="Times New Roman" w:eastAsia="Batang"/>
          <w:sz w:val="28"/>
          <w:szCs w:val="28"/>
          <w:lang w:eastAsia="ru-RU"/>
        </w:rPr>
      </w:r>
    </w:p>
    <w:p>
      <w:pPr>
        <w:pBdr/>
        <w:spacing w:after="0" w:line="240" w:lineRule="auto"/>
        <w:ind w:right="-141" w:firstLine="567"/>
        <w:jc w:val="both"/>
        <w:rPr>
          <w:rFonts w:ascii="Times New Roman" w:hAnsi="Times New Roman" w:eastAsia="Batang"/>
          <w:sz w:val="28"/>
          <w:szCs w:val="28"/>
          <w:lang w:eastAsia="ru-RU"/>
        </w:rPr>
      </w:pPr>
      <w:r>
        <w:rPr>
          <w:rFonts w:ascii="Times New Roman" w:hAnsi="Times New Roman" w:eastAsia="Batang"/>
          <w:sz w:val="28"/>
          <w:szCs w:val="28"/>
          <w:lang w:eastAsia="ru-RU"/>
        </w:rPr>
        <w:t xml:space="preserve">- орієнтовна кількість учнів, які охоплені гарячим харчуванням;</w:t>
      </w:r>
      <w:r>
        <w:rPr>
          <w:rFonts w:ascii="Times New Roman" w:hAnsi="Times New Roman" w:eastAsia="Batang"/>
          <w:sz w:val="28"/>
          <w:szCs w:val="28"/>
          <w:lang w:eastAsia="ru-RU"/>
        </w:rPr>
      </w:r>
      <w:r>
        <w:rPr>
          <w:rFonts w:ascii="Times New Roman" w:hAnsi="Times New Roman" w:eastAsia="Batang"/>
          <w:sz w:val="28"/>
          <w:szCs w:val="28"/>
          <w:lang w:eastAsia="ru-RU"/>
        </w:rPr>
      </w:r>
    </w:p>
    <w:p>
      <w:pPr>
        <w:pBdr/>
        <w:spacing w:after="0" w:line="240" w:lineRule="auto"/>
        <w:ind w:right="-141" w:firstLine="567"/>
        <w:jc w:val="both"/>
        <w:rPr>
          <w:rFonts w:ascii="Times New Roman" w:hAnsi="Times New Roman" w:eastAsia="Batang"/>
          <w:sz w:val="28"/>
          <w:szCs w:val="28"/>
          <w:lang w:eastAsia="ru-RU"/>
        </w:rPr>
      </w:pPr>
      <w:r>
        <w:rPr>
          <w:rFonts w:ascii="Times New Roman" w:hAnsi="Times New Roman" w:eastAsia="Batang"/>
          <w:sz w:val="28"/>
          <w:szCs w:val="28"/>
          <w:lang w:eastAsia="ru-RU"/>
        </w:rPr>
        <w:t xml:space="preserve">- орієнтовна кількість учнів, які охоплені безоплатним гаряч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им харчуванням,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 категорії яких визначені даною Програмою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Batang"/>
          <w:sz w:val="28"/>
          <w:szCs w:val="28"/>
          <w:lang w:eastAsia="ru-RU"/>
        </w:rPr>
      </w:r>
      <w:r>
        <w:rPr>
          <w:rFonts w:ascii="Times New Roman" w:hAnsi="Times New Roman" w:eastAsia="Batang"/>
          <w:sz w:val="28"/>
          <w:szCs w:val="28"/>
          <w:lang w:eastAsia="ru-RU"/>
        </w:rPr>
      </w:r>
    </w:p>
    <w:p>
      <w:pPr>
        <w:pBdr/>
        <w:tabs>
          <w:tab w:val="left" w:leader="none" w:pos="426"/>
          <w:tab w:val="left" w:leader="none" w:pos="851"/>
        </w:tabs>
        <w:spacing w:after="0" w:line="240" w:lineRule="auto"/>
        <w:ind w:right="-141" w:firstLine="567"/>
        <w:jc w:val="both"/>
        <w:rPr>
          <w:rStyle w:val="929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- орієнтовна кількість учнів, які охоплені г</w:t>
      </w:r>
      <w:r>
        <w:rPr>
          <w:rStyle w:val="929"/>
          <w:rFonts w:ascii="Times New Roman" w:hAnsi="Times New Roman"/>
          <w:sz w:val="28"/>
          <w:szCs w:val="28"/>
        </w:rPr>
        <w:t xml:space="preserve">арячим харчуванням, з оплатою в розмірі 50% від вартості харчування (діти з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 сімей в яких троє і більше дітей до 18 років);</w:t>
      </w:r>
      <w:r>
        <w:rPr>
          <w:rStyle w:val="929"/>
          <w:rFonts w:ascii="Times New Roman" w:hAnsi="Times New Roman"/>
          <w:sz w:val="28"/>
          <w:szCs w:val="28"/>
        </w:rPr>
        <w:t xml:space="preserve"> </w:t>
      </w:r>
      <w:r>
        <w:rPr>
          <w:rStyle w:val="929"/>
        </w:rPr>
      </w:r>
      <w:r>
        <w:rPr>
          <w:rStyle w:val="929"/>
        </w:rPr>
      </w:r>
    </w:p>
    <w:p>
      <w:pPr>
        <w:pStyle w:val="927"/>
        <w:pBdr/>
        <w:tabs>
          <w:tab w:val="left" w:leader="none" w:pos="425"/>
        </w:tabs>
        <w:spacing w:after="0" w:line="240" w:lineRule="auto"/>
        <w:ind w:right="-141" w:firstLine="567" w:left="0"/>
        <w:jc w:val="both"/>
        <w:rPr>
          <w:rFonts w:eastAsia="Batang"/>
          <w:lang w:eastAsia="ru-RU"/>
        </w:rPr>
      </w:pPr>
      <w:r>
        <w:rPr>
          <w:rFonts w:ascii="Times New Roman" w:hAnsi="Times New Roman" w:eastAsia="Batang"/>
          <w:sz w:val="28"/>
          <w:szCs w:val="28"/>
          <w:lang w:eastAsia="ru-RU"/>
        </w:rPr>
        <w:t xml:space="preserve">- вартість харчування на одну 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дитину в день (2025 рік – 45,00 грн в день, 2026 рік – 50,00 грн в день, 2027 рік – 55,00 грн в день;</w:t>
      </w:r>
      <w:r>
        <w:rPr>
          <w:rFonts w:eastAsia="Batang"/>
          <w:lang w:eastAsia="ru-RU"/>
        </w:rPr>
      </w:r>
      <w:r>
        <w:rPr>
          <w:rFonts w:eastAsia="Batang"/>
          <w:lang w:eastAsia="ru-RU"/>
        </w:rPr>
      </w:r>
    </w:p>
    <w:p>
      <w:pPr>
        <w:pStyle w:val="927"/>
        <w:pBdr/>
        <w:tabs>
          <w:tab w:val="left" w:leader="none" w:pos="425"/>
        </w:tabs>
        <w:spacing w:after="0" w:line="240" w:lineRule="auto"/>
        <w:ind w:right="-141" w:firstLine="567" w:left="0"/>
        <w:jc w:val="both"/>
        <w:rPr>
          <w:rFonts w:ascii="Times New Roman" w:hAnsi="Times New Roman" w:eastAsia="Batang"/>
          <w:lang w:eastAsia="ru-RU"/>
        </w:rPr>
      </w:pPr>
      <w:r>
        <w:rPr>
          <w:rFonts w:ascii="Times New Roman" w:hAnsi="Times New Roman" w:eastAsia="Batang"/>
          <w:sz w:val="28"/>
          <w:szCs w:val="28"/>
          <w:lang w:eastAsia="ru-RU"/>
        </w:rPr>
        <w:t xml:space="preserve">- середній показник кількості 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дітоднів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 за попередні роки;</w:t>
      </w:r>
      <w:r>
        <w:rPr>
          <w:rFonts w:ascii="Times New Roman" w:hAnsi="Times New Roman" w:eastAsia="Batang"/>
          <w:lang w:eastAsia="ru-RU"/>
        </w:rPr>
      </w:r>
      <w:r>
        <w:rPr>
          <w:rFonts w:ascii="Times New Roman" w:hAnsi="Times New Roman" w:eastAsia="Batang"/>
          <w:lang w:eastAsia="ru-RU"/>
        </w:rPr>
      </w:r>
    </w:p>
    <w:p>
      <w:pPr>
        <w:pStyle w:val="927"/>
        <w:pBdr/>
        <w:tabs>
          <w:tab w:val="left" w:leader="none" w:pos="425"/>
        </w:tabs>
        <w:spacing w:after="0" w:line="240" w:lineRule="auto"/>
        <w:ind w:right="-141" w:firstLine="567" w:left="0"/>
        <w:jc w:val="both"/>
        <w:rPr>
          <w:rFonts w:ascii="Times New Roman" w:hAnsi="Times New Roman" w:eastAsia="Batang"/>
          <w:sz w:val="28"/>
          <w:szCs w:val="28"/>
          <w:lang w:eastAsia="ru-RU"/>
        </w:rPr>
      </w:pPr>
      <w:r>
        <w:rPr>
          <w:rFonts w:ascii="Times New Roman" w:hAnsi="Times New Roman" w:eastAsia="Batang"/>
          <w:sz w:val="28"/>
          <w:szCs w:val="28"/>
          <w:lang w:eastAsia="ru-RU"/>
        </w:rPr>
        <w:t xml:space="preserve">- середній показник виконання норм харчування за попередні роки.</w:t>
      </w:r>
      <w:r>
        <w:rPr>
          <w:rFonts w:ascii="Times New Roman" w:hAnsi="Times New Roman" w:eastAsia="Batang"/>
          <w:sz w:val="28"/>
          <w:szCs w:val="28"/>
          <w:lang w:eastAsia="ru-RU"/>
        </w:rPr>
      </w:r>
      <w:r>
        <w:rPr>
          <w:rFonts w:ascii="Times New Roman" w:hAnsi="Times New Roman" w:eastAsia="Batang"/>
          <w:sz w:val="28"/>
          <w:szCs w:val="28"/>
          <w:lang w:eastAsia="ru-RU"/>
        </w:rPr>
      </w:r>
    </w:p>
    <w:p>
      <w:pPr>
        <w:pBdr/>
        <w:spacing w:after="0" w:line="240" w:lineRule="auto"/>
        <w:ind w:right="-141" w:firstLine="567"/>
        <w:jc w:val="both"/>
        <w:rPr>
          <w:rFonts w:ascii="Times New Roman" w:hAnsi="Times New Roman" w:eastAsia="Batang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основу розрахунку потреби кош</w:t>
      </w:r>
      <w:r>
        <w:rPr>
          <w:rFonts w:ascii="Times New Roman" w:hAnsi="Times New Roman"/>
          <w:sz w:val="28"/>
          <w:szCs w:val="28"/>
          <w:lang w:eastAsia="ru-RU"/>
        </w:rPr>
        <w:t xml:space="preserve">тів,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 необхідних для реалізації даної Програми у 2025-2027 роках для забезпечення харчування учнів у пришкільних таборах відпочинку при закладах загальної середньої освіти, покладено наступні вимоги:</w:t>
      </w:r>
      <w:r>
        <w:rPr>
          <w:rFonts w:ascii="Times New Roman" w:hAnsi="Times New Roman" w:eastAsia="Batang"/>
          <w:sz w:val="28"/>
          <w:szCs w:val="28"/>
          <w:lang w:eastAsia="ru-RU"/>
        </w:rPr>
      </w:r>
      <w:r>
        <w:rPr>
          <w:rFonts w:ascii="Times New Roman" w:hAnsi="Times New Roman" w:eastAsia="Batang"/>
          <w:sz w:val="28"/>
          <w:szCs w:val="28"/>
          <w:lang w:eastAsia="ru-RU"/>
        </w:rPr>
      </w:r>
    </w:p>
    <w:p>
      <w:pPr>
        <w:pBdr/>
        <w:spacing w:after="0" w:line="240" w:lineRule="auto"/>
        <w:ind w:right="-141" w:firstLine="567"/>
        <w:jc w:val="both"/>
        <w:rPr>
          <w:rFonts w:ascii="Times New Roman" w:hAnsi="Times New Roman" w:eastAsia="Batang"/>
          <w:sz w:val="28"/>
          <w:szCs w:val="28"/>
          <w:lang w:eastAsia="ru-RU"/>
        </w:rPr>
      </w:pPr>
      <w:r>
        <w:rPr>
          <w:rFonts w:ascii="Times New Roman" w:hAnsi="Times New Roman" w:eastAsia="Batang"/>
          <w:sz w:val="28"/>
          <w:szCs w:val="28"/>
          <w:lang w:eastAsia="ru-RU"/>
        </w:rPr>
        <w:t xml:space="preserve">- орієнтовна кількість учнів 1-4 класів;</w:t>
      </w:r>
      <w:r>
        <w:rPr>
          <w:rFonts w:ascii="Times New Roman" w:hAnsi="Times New Roman" w:eastAsia="Batang"/>
          <w:sz w:val="28"/>
          <w:szCs w:val="28"/>
          <w:lang w:eastAsia="ru-RU"/>
        </w:rPr>
      </w:r>
      <w:r>
        <w:rPr>
          <w:rFonts w:ascii="Times New Roman" w:hAnsi="Times New Roman" w:eastAsia="Batang"/>
          <w:sz w:val="28"/>
          <w:szCs w:val="28"/>
          <w:lang w:eastAsia="ru-RU"/>
        </w:rPr>
      </w:r>
    </w:p>
    <w:p>
      <w:pPr>
        <w:pBdr/>
        <w:spacing w:after="0" w:line="240" w:lineRule="auto"/>
        <w:ind w:right="-141" w:firstLine="567"/>
        <w:jc w:val="both"/>
        <w:rPr>
          <w:rFonts w:ascii="Times New Roman" w:hAnsi="Times New Roman" w:eastAsia="Batang"/>
          <w:sz w:val="28"/>
          <w:szCs w:val="28"/>
          <w:lang w:eastAsia="ru-RU"/>
        </w:rPr>
      </w:pPr>
      <w:r>
        <w:rPr>
          <w:rFonts w:ascii="Times New Roman" w:hAnsi="Times New Roman" w:eastAsia="Batang"/>
          <w:sz w:val="28"/>
          <w:szCs w:val="28"/>
          <w:lang w:eastAsia="ru-RU"/>
        </w:rPr>
        <w:t xml:space="preserve">- кількість днів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 відпочинкової зміни (14 днів);</w:t>
      </w:r>
      <w:r>
        <w:rPr>
          <w:rFonts w:ascii="Times New Roman" w:hAnsi="Times New Roman" w:eastAsia="Batang"/>
          <w:sz w:val="28"/>
          <w:szCs w:val="28"/>
          <w:lang w:eastAsia="ru-RU"/>
        </w:rPr>
      </w:r>
      <w:r>
        <w:rPr>
          <w:rFonts w:ascii="Times New Roman" w:hAnsi="Times New Roman" w:eastAsia="Batang"/>
          <w:sz w:val="28"/>
          <w:szCs w:val="28"/>
          <w:lang w:eastAsia="ru-RU"/>
        </w:rPr>
      </w:r>
    </w:p>
    <w:p>
      <w:pPr>
        <w:pStyle w:val="927"/>
        <w:pBdr/>
        <w:tabs>
          <w:tab w:val="left" w:leader="none" w:pos="425"/>
        </w:tabs>
        <w:spacing w:after="0" w:line="240" w:lineRule="auto"/>
        <w:ind w:right="-141" w:firstLine="567" w:left="0"/>
        <w:jc w:val="both"/>
        <w:rPr>
          <w:rFonts w:eastAsia="Batang"/>
          <w:lang w:eastAsia="ru-RU"/>
        </w:rPr>
      </w:pPr>
      <w:r>
        <w:rPr>
          <w:rFonts w:ascii="Times New Roman" w:hAnsi="Times New Roman" w:eastAsia="Batang"/>
          <w:sz w:val="28"/>
          <w:szCs w:val="28"/>
          <w:lang w:eastAsia="ru-RU"/>
        </w:rPr>
        <w:t xml:space="preserve">- вартість харчування на одну дитину в день (2025 рік – 60,00 грн в день, 2026 рік – 65,00 грн в день, 2027 рік – 70,00 грн в день;</w:t>
      </w:r>
      <w:r>
        <w:rPr>
          <w:rFonts w:eastAsia="Batang"/>
          <w:lang w:eastAsia="ru-RU"/>
        </w:rPr>
      </w:r>
      <w:r>
        <w:rPr>
          <w:rFonts w:eastAsia="Batang"/>
          <w:lang w:eastAsia="ru-RU"/>
        </w:rPr>
      </w:r>
    </w:p>
    <w:p>
      <w:pPr>
        <w:pStyle w:val="927"/>
        <w:pBdr/>
        <w:tabs>
          <w:tab w:val="left" w:leader="none" w:pos="425"/>
        </w:tabs>
        <w:spacing w:after="0" w:line="240" w:lineRule="auto"/>
        <w:ind w:right="-141" w:firstLine="567" w:left="0"/>
        <w:jc w:val="both"/>
        <w:rPr>
          <w:rFonts w:ascii="Times New Roman" w:hAnsi="Times New Roman" w:eastAsia="Batang"/>
          <w:sz w:val="28"/>
          <w:szCs w:val="28"/>
          <w:lang w:eastAsia="ru-RU"/>
        </w:rPr>
      </w:pPr>
      <w:r>
        <w:rPr>
          <w:rFonts w:ascii="Times New Roman" w:hAnsi="Times New Roman" w:eastAsia="Batang"/>
          <w:sz w:val="28"/>
          <w:szCs w:val="28"/>
          <w:lang w:eastAsia="ru-RU"/>
        </w:rPr>
        <w:t xml:space="preserve">- середній показник виконання норм харчування за попередні роки.</w:t>
      </w:r>
      <w:r>
        <w:rPr>
          <w:rFonts w:ascii="Times New Roman" w:hAnsi="Times New Roman" w:eastAsia="Batang"/>
          <w:sz w:val="28"/>
          <w:szCs w:val="28"/>
          <w:lang w:eastAsia="ru-RU"/>
        </w:rPr>
      </w:r>
      <w:r>
        <w:rPr>
          <w:rFonts w:ascii="Times New Roman" w:hAnsi="Times New Roman" w:eastAsia="Batang"/>
          <w:sz w:val="28"/>
          <w:szCs w:val="28"/>
          <w:lang w:eastAsia="ru-RU"/>
        </w:rPr>
      </w:r>
    </w:p>
    <w:p>
      <w:pPr>
        <w:pStyle w:val="927"/>
        <w:pBdr/>
        <w:tabs>
          <w:tab w:val="left" w:leader="none" w:pos="425"/>
        </w:tabs>
        <w:spacing w:after="0" w:line="240" w:lineRule="auto"/>
        <w:ind w:right="-141" w:firstLine="567" w:left="0"/>
        <w:jc w:val="both"/>
        <w:rPr>
          <w:rFonts w:ascii="Times New Roman" w:hAnsi="Times New Roman" w:eastAsia="Batang"/>
          <w:color w:val="ff0000"/>
          <w:lang w:eastAsia="ru-RU"/>
        </w:rPr>
      </w:pPr>
      <w:r>
        <w:rPr>
          <w:rFonts w:ascii="Times New Roman" w:hAnsi="Times New Roman" w:eastAsia="Batang"/>
          <w:color w:val="ff0000"/>
          <w:lang w:eastAsia="ru-RU"/>
        </w:rPr>
      </w:r>
      <w:r>
        <w:rPr>
          <w:rFonts w:ascii="Times New Roman" w:hAnsi="Times New Roman" w:eastAsia="Batang"/>
          <w:color w:val="ff0000"/>
          <w:lang w:eastAsia="ru-RU"/>
        </w:rPr>
      </w:r>
      <w:r>
        <w:rPr>
          <w:rFonts w:ascii="Times New Roman" w:hAnsi="Times New Roman" w:eastAsia="Batang"/>
          <w:color w:val="ff0000"/>
          <w:lang w:eastAsia="ru-RU"/>
        </w:rPr>
      </w:r>
    </w:p>
    <w:tbl>
      <w:tblPr>
        <w:tblStyle w:val="935"/>
        <w:tblW w:w="10012" w:type="dxa"/>
        <w:jc w:val="center"/>
        <w:tblBorders/>
        <w:tblLook w:val="04A0" w:firstRow="1" w:lastRow="0" w:firstColumn="1" w:lastColumn="0" w:noHBand="0" w:noVBand="1"/>
      </w:tblPr>
      <w:tblGrid>
        <w:gridCol w:w="2547"/>
        <w:gridCol w:w="1987"/>
        <w:gridCol w:w="1826"/>
        <w:gridCol w:w="1826"/>
        <w:gridCol w:w="1826"/>
      </w:tblGrid>
      <w:tr>
        <w:trPr>
          <w:jc w:val="center"/>
        </w:trPr>
        <w:tc>
          <w:tcPr>
            <w:tcBorders/>
            <w:tcW w:w="2547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uk-UA"/>
              </w:rPr>
              <w:t xml:space="preserve">Всього на рік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987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  <w:t xml:space="preserve">Всього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826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  <w:t xml:space="preserve">2025 рік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826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  <w:t xml:space="preserve">2026 рік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826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  <w:t xml:space="preserve">2027 рік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</w:p>
        </w:tc>
      </w:tr>
      <w:tr>
        <w:trPr>
          <w:jc w:val="center"/>
        </w:trPr>
        <w:tc>
          <w:tcPr>
            <w:tcBorders/>
            <w:tcW w:w="2547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uk-UA"/>
              </w:rPr>
              <w:t xml:space="preserve">Протягом навчального року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987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  <w:t xml:space="preserve">43 065 345,00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826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14 114 125,00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826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uk-UA"/>
              </w:rPr>
              <w:t xml:space="preserve">14 193 735,00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826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uk-UA"/>
              </w:rPr>
              <w:t xml:space="preserve">14 757 485,00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uk-UA"/>
              </w:rPr>
            </w:r>
          </w:p>
        </w:tc>
      </w:tr>
      <w:tr>
        <w:trPr>
          <w:jc w:val="center"/>
        </w:trPr>
        <w:tc>
          <w:tcPr>
            <w:tcBorders/>
            <w:tcW w:w="2547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uk-UA"/>
              </w:rPr>
              <w:t xml:space="preserve">У пришкільних таборах відпочинку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987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  <w:t xml:space="preserve">1 665 160,00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826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  <w:t xml:space="preserve">558 600,00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826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uk-UA"/>
              </w:rPr>
              <w:t xml:space="preserve">546 000,00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826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uk-UA"/>
              </w:rPr>
              <w:t xml:space="preserve">560 560,00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uk-UA"/>
              </w:rPr>
            </w:r>
          </w:p>
        </w:tc>
      </w:tr>
      <w:tr>
        <w:trPr>
          <w:jc w:val="center"/>
        </w:trPr>
        <w:tc>
          <w:tcPr>
            <w:tcBorders/>
            <w:tcW w:w="2547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uk-UA"/>
              </w:rPr>
              <w:t xml:space="preserve">Всього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987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  <w:t xml:space="preserve">44 730 505,00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826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  <w:t xml:space="preserve">14 672 725,00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826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uk-UA"/>
              </w:rPr>
              <w:t xml:space="preserve">14 739 735,00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uk-UA"/>
              </w:rPr>
            </w:r>
          </w:p>
        </w:tc>
        <w:tc>
          <w:tcPr>
            <w:tcBorders/>
            <w:tcW w:w="1826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uk-UA"/>
              </w:rPr>
              <w:t xml:space="preserve">15 318 045,00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uk-UA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uk-UA"/>
              </w:rPr>
            </w:r>
          </w:p>
        </w:tc>
      </w:tr>
    </w:tbl>
    <w:p>
      <w:pPr>
        <w:pBdr/>
        <w:shd w:val="clear" w:color="auto" w:fill="ffffff"/>
        <w:spacing w:after="0" w:line="240" w:lineRule="auto"/>
        <w:ind/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r>
    </w:p>
    <w:p>
      <w:pPr>
        <w:pBdr/>
        <w:shd w:val="clear" w:color="auto" w:fill="ffffff"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  <w:t xml:space="preserve">9</w:t>
      </w: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  <w:t xml:space="preserve">. Контроль за виконанням програми</w:t>
      </w: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uk-UA"/>
        </w:rPr>
      </w:r>
    </w:p>
    <w:p>
      <w:pPr>
        <w:pBdr/>
        <w:shd w:val="clear" w:color="auto" w:fill="ffffff"/>
        <w:spacing w:after="0" w:line="240" w:lineRule="auto"/>
        <w:ind/>
        <w:jc w:val="center"/>
        <w:rPr>
          <w:rFonts w:ascii="Times New Roman" w:hAnsi="Times New Roman" w:eastAsia="Times New Roman"/>
          <w:sz w:val="28"/>
          <w:szCs w:val="28"/>
          <w:lang w:val="ru-RU" w:eastAsia="uk-UA"/>
        </w:rPr>
      </w:pPr>
      <w:r/>
      <w:bookmarkStart w:id="1" w:name="_GoBack"/>
      <w:r/>
      <w:bookmarkEnd w:id="1"/>
      <w:r>
        <w:rPr>
          <w:rFonts w:ascii="Times New Roman" w:hAnsi="Times New Roman" w:eastAsia="Times New Roman"/>
          <w:sz w:val="28"/>
          <w:szCs w:val="28"/>
          <w:lang w:val="ru-RU" w:eastAsia="uk-UA"/>
        </w:rPr>
      </w:r>
      <w:r>
        <w:rPr>
          <w:rFonts w:ascii="Times New Roman" w:hAnsi="Times New Roman" w:eastAsia="Times New Roman"/>
          <w:sz w:val="28"/>
          <w:szCs w:val="28"/>
          <w:lang w:val="ru-RU" w:eastAsia="uk-UA"/>
        </w:rPr>
      </w:r>
    </w:p>
    <w:p>
      <w:pPr>
        <w:pBdr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Організація виконання Програми покладається на Відділ освіти Менської міської ради, Комунальну установу «Центр з обслуговування освітніх установ та закладів освіти», адміністрації  закладів загальної середньої освіти Мен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ської ТГ.</w:t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Bdr/>
        <w:shd w:val="clear" w:color="auto" w:fill="ffffff"/>
        <w:tabs>
          <w:tab w:val="left" w:leader="none" w:pos="567"/>
        </w:tabs>
        <w:spacing w:after="0" w:line="240" w:lineRule="auto"/>
        <w:ind w:right="-141" w:firstLine="567"/>
        <w:jc w:val="both"/>
        <w:rPr>
          <w:rFonts w:ascii="Arial" w:hAnsi="Arial" w:eastAsia="Times New Roman" w:cs="Arial"/>
          <w:color w:val="444444"/>
          <w:sz w:val="21"/>
          <w:szCs w:val="21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Контроль за ходом реалізації Програми здійснюється постійною комісією Менської міської ради з питань охорони здоров’я, соціального захисту населення,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освіти, культури, молоді, фізкультури і спорту, </w:t>
      </w:r>
      <w:r>
        <w:rPr>
          <w:rFonts w:ascii="Times New Roman" w:hAnsi="Times New Roman"/>
          <w:sz w:val="28"/>
          <w:szCs w:val="28"/>
        </w:rPr>
        <w:t xml:space="preserve">заступником міського голови з питань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виконавчих органів </w:t>
      </w:r>
      <w:r>
        <w:rPr>
          <w:rFonts w:ascii="Times New Roman" w:hAnsi="Times New Roman"/>
          <w:sz w:val="28"/>
          <w:szCs w:val="28"/>
        </w:rPr>
        <w:t xml:space="preserve">ради </w:t>
      </w:r>
      <w:r>
        <w:rPr>
          <w:rFonts w:ascii="Times New Roman" w:hAnsi="Times New Roman"/>
          <w:sz w:val="28"/>
          <w:szCs w:val="28"/>
          <w:lang w:val="ru-RU"/>
        </w:rPr>
        <w:t xml:space="preserve">П</w:t>
      </w:r>
      <w:r>
        <w:rPr>
          <w:rFonts w:ascii="Times New Roman" w:hAnsi="Times New Roman"/>
          <w:sz w:val="28"/>
          <w:szCs w:val="28"/>
        </w:rPr>
        <w:t xml:space="preserve">рищепою</w:t>
      </w:r>
      <w:r>
        <w:rPr>
          <w:rFonts w:ascii="Times New Roman" w:hAnsi="Times New Roman"/>
          <w:sz w:val="28"/>
          <w:szCs w:val="28"/>
        </w:rPr>
        <w:t xml:space="preserve"> В.В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/>
          <w:color w:val="44546a" w:themeColor="text2"/>
          <w:sz w:val="28"/>
          <w:szCs w:val="28"/>
          <w:lang w:eastAsia="uk-UA"/>
        </w:rPr>
        <w:t xml:space="preserve"> </w:t>
      </w:r>
      <w:r>
        <w:rPr>
          <w:rFonts w:ascii="Arial" w:hAnsi="Arial" w:eastAsia="Times New Roman" w:cs="Arial"/>
          <w:color w:val="444444"/>
          <w:sz w:val="21"/>
          <w:szCs w:val="21"/>
          <w:lang w:eastAsia="uk-UA"/>
        </w:rPr>
      </w:r>
      <w:r>
        <w:rPr>
          <w:rFonts w:ascii="Arial" w:hAnsi="Arial" w:eastAsia="Times New Roman" w:cs="Arial"/>
          <w:color w:val="444444"/>
          <w:sz w:val="21"/>
          <w:szCs w:val="21"/>
          <w:lang w:eastAsia="uk-UA"/>
        </w:rPr>
      </w:r>
    </w:p>
    <w:p>
      <w:pPr>
        <w:pBdr/>
        <w:spacing w:after="0" w:line="240" w:lineRule="auto"/>
        <w:ind/>
        <w:rPr/>
      </w:pPr>
      <w:r/>
      <w:r/>
    </w:p>
    <w:p>
      <w:pPr>
        <w:pBdr/>
        <w:spacing w:after="0" w:line="240" w:lineRule="auto"/>
        <w:ind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Начальник Відділу освіти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Менської міської ради                                                           Ірина ЛУК’ЯНЕНКО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Batang">
    <w:panose1 w:val="02020603020101020101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  <w:pBdr/>
      <w:spacing/>
      <w:ind/>
      <w:jc w:val="center"/>
      <w:rPr>
        <w:rFonts w:ascii="Times New Roman" w:hAnsi="Times New Roman"/>
      </w:rPr>
    </w:pPr>
    <w:r>
      <w:t xml:space="preserve">                                            </w:t>
    </w:r>
    <w:r>
      <w:rPr>
        <w:rFonts w:ascii="Times New Roman" w:hAnsi="Times New Roman" w:eastAsia="Times New Roman"/>
      </w:rPr>
      <w:t xml:space="preserve">       </w:t>
    </w:r>
    <w:r>
      <w:fldChar w:fldCharType="begin"/>
    </w:r>
    <w:r>
      <w:instrText xml:space="preserve">PAGE \* MERGEFORMAT</w:instrText>
    </w:r>
    <w:r>
      <w:fldChar w:fldCharType="separate"/>
    </w:r>
    <w:r>
      <w:rPr>
        <w:rFonts w:ascii="Times New Roman" w:hAnsi="Times New Roman" w:eastAsia="Times New Roman"/>
      </w:rPr>
      <w:t xml:space="preserve">1</w:t>
    </w:r>
    <w:r>
      <w:rPr>
        <w:rFonts w:ascii="Times New Roman" w:hAnsi="Times New Roman" w:eastAsia="Times New Roman"/>
      </w:rPr>
      <w:fldChar w:fldCharType="end"/>
    </w:r>
    <w:r>
      <w:rPr>
        <w:rFonts w:ascii="Times New Roman" w:hAnsi="Times New Roman" w:eastAsia="Times New Roman"/>
      </w:rPr>
      <w:t xml:space="preserve">                           продовження додатка</w:t>
    </w:r>
    <w:r>
      <w:rPr>
        <w:rFonts w:ascii="Times New Roman" w:hAnsi="Times New Roman"/>
      </w:rPr>
    </w:r>
    <w:r>
      <w:rPr>
        <w:rFonts w:ascii="Times New Roman" w:hAnsi="Times New Roman"/>
      </w:rPr>
    </w:r>
  </w:p>
  <w:p>
    <w:pPr>
      <w:pStyle w:val="910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59" w:left="928"/>
      </w:pPr>
      <w:rPr>
        <w:rFonts w:hint="default" w:ascii="Times New Roman" w:hAnsi="Times New Roman" w:eastAsia="Batang" w:cs="Times New Roman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59" w:left="16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59" w:left="23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59" w:left="30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9" w:left="38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59" w:left="45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59" w:left="52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9" w:left="59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59" w:left="6688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359" w:left="720"/>
      </w:pPr>
      <w:rPr>
        <w:rFonts w:hint="default" w:ascii="Times New Roman" w:hAnsi="Times New Roman" w:eastAsia="Times New Roman" w:cs="Times New Roman"/>
        <w:color w:val="000000"/>
        <w:sz w:val="22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9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59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59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9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59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59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9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59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359" w:left="720"/>
      </w:pPr>
      <w:rPr>
        <w:rFonts w:hint="default" w:ascii="Times New Roman" w:hAnsi="Times New Roman" w:eastAsia="Times New Roman" w:cs="Times New Roman"/>
        <w:color w:val="000000"/>
        <w:sz w:val="22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9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59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59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9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59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59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9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59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Times New Roman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Times New Roman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1081"/>
      </w:pPr>
      <w:rPr>
        <w:b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1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720" w:left="144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80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1080" w:left="252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88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440" w:left="360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800" w:left="432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800" w:left="468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2160" w:left="5400"/>
      </w:pPr>
      <w:rPr>
        <w:rFonts w:hint="default"/>
      </w:rPr>
      <w:start w:val="1"/>
      <w:suff w:val="tab"/>
    </w:lvl>
  </w:abstractNum>
  <w:abstractNum w:abstractNumId="8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Times New Roman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Times New Roman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5"/>
  </w:num>
  <w:num w:numId="4">
    <w:abstractNumId w:val="4"/>
  </w:num>
  <w:num w:numId="5">
    <w:abstractNumId w:val="1"/>
  </w:num>
  <w:num w:numId="6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7"/>
  </w:num>
  <w:num w:numId="9">
    <w:abstractNumId w:val="3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0">
    <w:name w:val="Heading 1 Char"/>
    <w:basedOn w:val="757"/>
    <w:link w:val="74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31">
    <w:name w:val="Heading 2 Char"/>
    <w:basedOn w:val="757"/>
    <w:link w:val="74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32">
    <w:name w:val="Heading 3 Char"/>
    <w:basedOn w:val="757"/>
    <w:link w:val="7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33">
    <w:name w:val="Heading 4 Char"/>
    <w:basedOn w:val="757"/>
    <w:link w:val="75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34">
    <w:name w:val="Heading 5 Char"/>
    <w:basedOn w:val="757"/>
    <w:link w:val="75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35">
    <w:name w:val="Heading 6 Char"/>
    <w:basedOn w:val="757"/>
    <w:link w:val="75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36">
    <w:name w:val="Heading 7 Char"/>
    <w:basedOn w:val="757"/>
    <w:link w:val="75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37">
    <w:name w:val="Heading 8 Char"/>
    <w:basedOn w:val="757"/>
    <w:link w:val="75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8">
    <w:name w:val="Heading 9 Char"/>
    <w:basedOn w:val="757"/>
    <w:link w:val="75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9">
    <w:name w:val="Title Char"/>
    <w:basedOn w:val="757"/>
    <w:link w:val="89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40">
    <w:name w:val="Subtitle Char"/>
    <w:basedOn w:val="757"/>
    <w:link w:val="89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41">
    <w:name w:val="Quote Char"/>
    <w:basedOn w:val="757"/>
    <w:link w:val="89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42">
    <w:name w:val="Intense Quote Char"/>
    <w:basedOn w:val="757"/>
    <w:link w:val="90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43">
    <w:name w:val="Header Char"/>
    <w:basedOn w:val="757"/>
    <w:link w:val="910"/>
    <w:uiPriority w:val="99"/>
    <w:pPr>
      <w:pBdr/>
      <w:spacing/>
      <w:ind/>
    </w:pPr>
  </w:style>
  <w:style w:type="character" w:styleId="744">
    <w:name w:val="Footer Char"/>
    <w:basedOn w:val="757"/>
    <w:link w:val="912"/>
    <w:uiPriority w:val="99"/>
    <w:pPr>
      <w:pBdr/>
      <w:spacing/>
      <w:ind/>
    </w:pPr>
  </w:style>
  <w:style w:type="character" w:styleId="745">
    <w:name w:val="Footnote Text Char"/>
    <w:basedOn w:val="757"/>
    <w:link w:val="915"/>
    <w:uiPriority w:val="99"/>
    <w:semiHidden/>
    <w:pPr>
      <w:pBdr/>
      <w:spacing/>
      <w:ind/>
    </w:pPr>
    <w:rPr>
      <w:sz w:val="20"/>
      <w:szCs w:val="20"/>
    </w:rPr>
  </w:style>
  <w:style w:type="character" w:styleId="746">
    <w:name w:val="Endnote Text Char"/>
    <w:basedOn w:val="757"/>
    <w:link w:val="918"/>
    <w:uiPriority w:val="99"/>
    <w:semiHidden/>
    <w:pPr>
      <w:pBdr/>
      <w:spacing/>
      <w:ind/>
    </w:pPr>
    <w:rPr>
      <w:sz w:val="20"/>
      <w:szCs w:val="20"/>
    </w:rPr>
  </w:style>
  <w:style w:type="paragraph" w:styleId="747" w:default="1">
    <w:name w:val="Normal"/>
    <w:qFormat/>
    <w:pPr>
      <w:pBdr/>
      <w:spacing w:line="256" w:lineRule="auto"/>
      <w:ind/>
    </w:pPr>
    <w:rPr>
      <w:rFonts w:ascii="Calibri" w:hAnsi="Calibri" w:eastAsia="Calibri" w:cs="Times New Roman"/>
      <w:lang w:val="uk-UA"/>
    </w:rPr>
  </w:style>
  <w:style w:type="paragraph" w:styleId="748">
    <w:name w:val="Heading 1"/>
    <w:basedOn w:val="747"/>
    <w:next w:val="747"/>
    <w:link w:val="88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749">
    <w:name w:val="Heading 2"/>
    <w:basedOn w:val="747"/>
    <w:next w:val="747"/>
    <w:link w:val="88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750">
    <w:name w:val="Heading 3"/>
    <w:basedOn w:val="747"/>
    <w:next w:val="747"/>
    <w:link w:val="88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51">
    <w:name w:val="Heading 4"/>
    <w:basedOn w:val="747"/>
    <w:next w:val="747"/>
    <w:link w:val="88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52">
    <w:name w:val="Heading 5"/>
    <w:basedOn w:val="747"/>
    <w:next w:val="747"/>
    <w:link w:val="88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53">
    <w:name w:val="Heading 6"/>
    <w:basedOn w:val="747"/>
    <w:next w:val="747"/>
    <w:link w:val="89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54">
    <w:name w:val="Heading 7"/>
    <w:basedOn w:val="747"/>
    <w:next w:val="747"/>
    <w:link w:val="89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55">
    <w:name w:val="Heading 8"/>
    <w:basedOn w:val="747"/>
    <w:next w:val="747"/>
    <w:link w:val="89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56">
    <w:name w:val="Heading 9"/>
    <w:basedOn w:val="747"/>
    <w:next w:val="747"/>
    <w:link w:val="89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57" w:default="1">
    <w:name w:val="Default Paragraph Font"/>
    <w:uiPriority w:val="1"/>
    <w:semiHidden/>
    <w:unhideWhenUsed/>
    <w:pPr>
      <w:pBdr/>
      <w:spacing/>
      <w:ind/>
    </w:pPr>
  </w:style>
  <w:style w:type="table" w:styleId="75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9" w:default="1">
    <w:name w:val="No List"/>
    <w:uiPriority w:val="99"/>
    <w:semiHidden/>
    <w:unhideWhenUsed/>
    <w:pPr>
      <w:pBdr/>
      <w:spacing/>
      <w:ind/>
    </w:pPr>
  </w:style>
  <w:style w:type="table" w:styleId="760" w:customStyle="1">
    <w:name w:val="Table Grid Light"/>
    <w:basedOn w:val="758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1"/>
    <w:basedOn w:val="758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2"/>
    <w:basedOn w:val="758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3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4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5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1 Light - Accent 1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1 Light - Accent 2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1 Light - Accent 3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1 Light - Accent 4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1 Light - Accent 5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1 Light - Accent 6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2 - Accent 1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2 - Accent 2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2 - Accent 3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2 - Accent 4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2 - Accent 5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2 - Accent 6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3 - Accent 1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3 - Accent 2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3 - Accent 3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3 - Accent 4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3 - Accent 5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3 - Accent 6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"/>
    <w:basedOn w:val="75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4 - Accent 1"/>
    <w:basedOn w:val="75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4 - Accent 2"/>
    <w:basedOn w:val="75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4 - Accent 3"/>
    <w:basedOn w:val="75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4 - Accent 4"/>
    <w:basedOn w:val="75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4 - Accent 5"/>
    <w:basedOn w:val="75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4 - Accent 6"/>
    <w:basedOn w:val="75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5 Dark- Accent 1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5 Dark - Accent 2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5 Dark - Accent 3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5 Dark- Accent 4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5 Dark - Accent 5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5 Dark - Accent 6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6 Colorful - Accent 1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6 Colorful - Accent 2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6 Colorful - Accent 3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6 Colorful - Accent 4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6 Colorful - Accent 5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6 Colorful - Accent 6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7 Colorful - Accent 1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7 Colorful - Accent 2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7 Colorful - Accent 3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7 Colorful - Accent 4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7 Colorful - Accent 5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7 Colorful - Accent 6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1 Light - Accent 1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1 Light - Accent 2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1 Light - Accent 3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1 Light - Accent 4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1 Light - Accent 5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1 Light - Accent 6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2 - Accent 1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2 - Accent 2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2 - Accent 3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2 - Accent 4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2 - Accent 5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2 - Accent 6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3 - Accent 1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3 - Accent 2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3 - Accent 3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3 - Accent 4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3 - Accent 5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3 - Accent 6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4 - Accent 1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4 - Accent 2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4 - Accent 3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4 - Accent 4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4 - Accent 5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4 - Accent 6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5 Dark - Accent 1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5 Dark - Accent 2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5 Dark - Accent 3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5 Dark - Accent 4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5 Dark - Accent 5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5 Dark - Accent 6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6 Colorful - Accent 1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6 Colorful - Accent 2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6 Colorful - Accent 3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6 Colorful - Accent 4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6 Colorful - Accent 5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6 Colorful - Accent 6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7 Colorful - Accent 1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7 Colorful - Accent 2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7 Colorful - Accent 3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7 Colorful - Accent 4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7 Colorful - Accent 5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7 Colorful - Accent 6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ned - Accent"/>
    <w:basedOn w:val="75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ned - Accent 1"/>
    <w:basedOn w:val="75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ned - Accent 2"/>
    <w:basedOn w:val="75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ned - Accent 3"/>
    <w:basedOn w:val="75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ned - Accent 4"/>
    <w:basedOn w:val="75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ned - Accent 5"/>
    <w:basedOn w:val="75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ned - Accent 6"/>
    <w:basedOn w:val="75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Bordered &amp; Lined - Accent"/>
    <w:basedOn w:val="75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&amp; Lined - Accent 1"/>
    <w:basedOn w:val="75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 &amp; Lined - Accent 2"/>
    <w:basedOn w:val="75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&amp; Lined - Accent 3"/>
    <w:basedOn w:val="75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&amp; Lined - Accent 4"/>
    <w:basedOn w:val="75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&amp; Lined - Accent 5"/>
    <w:basedOn w:val="75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&amp; Lined - Accent 6"/>
    <w:basedOn w:val="75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- Accent 1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- Accent 2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- Accent 3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- Accent 4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- Accent 5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- Accent 6"/>
    <w:basedOn w:val="75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5" w:customStyle="1">
    <w:name w:val="Заголовок 1 Знак"/>
    <w:basedOn w:val="757"/>
    <w:link w:val="748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86" w:customStyle="1">
    <w:name w:val="Заголовок 2 Знак"/>
    <w:basedOn w:val="757"/>
    <w:link w:val="74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87" w:customStyle="1">
    <w:name w:val="Заголовок 3 Знак"/>
    <w:basedOn w:val="757"/>
    <w:link w:val="75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88" w:customStyle="1">
    <w:name w:val="Заголовок 4 Знак"/>
    <w:basedOn w:val="757"/>
    <w:link w:val="751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89" w:customStyle="1">
    <w:name w:val="Заголовок 5 Знак"/>
    <w:basedOn w:val="757"/>
    <w:link w:val="752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90" w:customStyle="1">
    <w:name w:val="Заголовок 6 Знак"/>
    <w:basedOn w:val="757"/>
    <w:link w:val="75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91" w:customStyle="1">
    <w:name w:val="Заголовок 7 Знак"/>
    <w:basedOn w:val="757"/>
    <w:link w:val="75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92" w:customStyle="1">
    <w:name w:val="Заголовок 8 Знак"/>
    <w:basedOn w:val="757"/>
    <w:link w:val="75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93" w:customStyle="1">
    <w:name w:val="Заголовок 9 Знак"/>
    <w:basedOn w:val="757"/>
    <w:link w:val="75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94">
    <w:name w:val="Title"/>
    <w:basedOn w:val="747"/>
    <w:next w:val="747"/>
    <w:link w:val="89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5" w:customStyle="1">
    <w:name w:val="Назва Знак"/>
    <w:basedOn w:val="757"/>
    <w:link w:val="89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6">
    <w:name w:val="Subtitle"/>
    <w:basedOn w:val="747"/>
    <w:next w:val="747"/>
    <w:link w:val="89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7" w:customStyle="1">
    <w:name w:val="Підзаголовок Знак"/>
    <w:basedOn w:val="757"/>
    <w:link w:val="89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98">
    <w:name w:val="Quote"/>
    <w:basedOn w:val="747"/>
    <w:next w:val="747"/>
    <w:link w:val="89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9" w:customStyle="1">
    <w:name w:val="Цитата Знак"/>
    <w:basedOn w:val="757"/>
    <w:link w:val="89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00">
    <w:name w:val="Intense Emphasis"/>
    <w:basedOn w:val="757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901">
    <w:name w:val="Intense Quote"/>
    <w:basedOn w:val="747"/>
    <w:next w:val="747"/>
    <w:link w:val="902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902" w:customStyle="1">
    <w:name w:val="Насичена цитата Знак"/>
    <w:basedOn w:val="757"/>
    <w:link w:val="901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903">
    <w:name w:val="Intense Reference"/>
    <w:basedOn w:val="757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paragraph" w:styleId="904">
    <w:name w:val="No Spacing"/>
    <w:basedOn w:val="747"/>
    <w:uiPriority w:val="1"/>
    <w:qFormat/>
    <w:pPr>
      <w:pBdr/>
      <w:spacing w:after="0" w:line="240" w:lineRule="auto"/>
      <w:ind/>
    </w:pPr>
  </w:style>
  <w:style w:type="character" w:styleId="905">
    <w:name w:val="Subtle Emphasis"/>
    <w:basedOn w:val="75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6">
    <w:name w:val="Emphasis"/>
    <w:basedOn w:val="757"/>
    <w:uiPriority w:val="20"/>
    <w:qFormat/>
    <w:pPr>
      <w:pBdr/>
      <w:spacing/>
      <w:ind/>
    </w:pPr>
    <w:rPr>
      <w:i/>
      <w:iCs/>
    </w:rPr>
  </w:style>
  <w:style w:type="character" w:styleId="907">
    <w:name w:val="Strong"/>
    <w:basedOn w:val="757"/>
    <w:uiPriority w:val="22"/>
    <w:qFormat/>
    <w:pPr>
      <w:pBdr/>
      <w:spacing/>
      <w:ind/>
    </w:pPr>
    <w:rPr>
      <w:b/>
      <w:bCs/>
    </w:rPr>
  </w:style>
  <w:style w:type="character" w:styleId="908">
    <w:name w:val="Subtle Reference"/>
    <w:basedOn w:val="75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9">
    <w:name w:val="Book Title"/>
    <w:basedOn w:val="75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10">
    <w:name w:val="Header"/>
    <w:basedOn w:val="747"/>
    <w:link w:val="91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1" w:customStyle="1">
    <w:name w:val="Верхній колонтитул Знак"/>
    <w:basedOn w:val="757"/>
    <w:link w:val="910"/>
    <w:uiPriority w:val="99"/>
    <w:pPr>
      <w:pBdr/>
      <w:spacing/>
      <w:ind/>
    </w:pPr>
  </w:style>
  <w:style w:type="paragraph" w:styleId="912">
    <w:name w:val="Footer"/>
    <w:basedOn w:val="747"/>
    <w:link w:val="91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3" w:customStyle="1">
    <w:name w:val="Нижній колонтитул Знак"/>
    <w:basedOn w:val="757"/>
    <w:link w:val="912"/>
    <w:uiPriority w:val="99"/>
    <w:pPr>
      <w:pBdr/>
      <w:spacing/>
      <w:ind/>
    </w:pPr>
  </w:style>
  <w:style w:type="paragraph" w:styleId="914">
    <w:name w:val="Caption"/>
    <w:basedOn w:val="747"/>
    <w:next w:val="747"/>
    <w:uiPriority w:val="35"/>
    <w:unhideWhenUsed/>
    <w:qFormat/>
    <w:pPr>
      <w:pBdr/>
      <w:spacing w:after="200" w:line="240" w:lineRule="auto"/>
      <w:ind/>
    </w:pPr>
    <w:rPr>
      <w:i/>
      <w:iCs/>
      <w:color w:val="44546a" w:themeColor="text2"/>
      <w:sz w:val="18"/>
      <w:szCs w:val="18"/>
    </w:rPr>
  </w:style>
  <w:style w:type="paragraph" w:styleId="915">
    <w:name w:val="footnote text"/>
    <w:basedOn w:val="747"/>
    <w:link w:val="91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6" w:customStyle="1">
    <w:name w:val="Текст виноски Знак"/>
    <w:basedOn w:val="757"/>
    <w:link w:val="915"/>
    <w:uiPriority w:val="99"/>
    <w:semiHidden/>
    <w:pPr>
      <w:pBdr/>
      <w:spacing/>
      <w:ind/>
    </w:pPr>
    <w:rPr>
      <w:sz w:val="20"/>
      <w:szCs w:val="20"/>
    </w:rPr>
  </w:style>
  <w:style w:type="character" w:styleId="917">
    <w:name w:val="footnote reference"/>
    <w:basedOn w:val="757"/>
    <w:uiPriority w:val="99"/>
    <w:semiHidden/>
    <w:unhideWhenUsed/>
    <w:pPr>
      <w:pBdr/>
      <w:spacing/>
      <w:ind/>
    </w:pPr>
    <w:rPr>
      <w:vertAlign w:val="superscript"/>
    </w:rPr>
  </w:style>
  <w:style w:type="paragraph" w:styleId="918">
    <w:name w:val="endnote text"/>
    <w:basedOn w:val="747"/>
    <w:link w:val="91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9" w:customStyle="1">
    <w:name w:val="Текст кінцевої виноски Знак"/>
    <w:basedOn w:val="757"/>
    <w:link w:val="918"/>
    <w:uiPriority w:val="99"/>
    <w:semiHidden/>
    <w:pPr>
      <w:pBdr/>
      <w:spacing/>
      <w:ind/>
    </w:pPr>
    <w:rPr>
      <w:sz w:val="20"/>
      <w:szCs w:val="20"/>
    </w:rPr>
  </w:style>
  <w:style w:type="character" w:styleId="920">
    <w:name w:val="endnote reference"/>
    <w:basedOn w:val="757"/>
    <w:uiPriority w:val="99"/>
    <w:semiHidden/>
    <w:unhideWhenUsed/>
    <w:pPr>
      <w:pBdr/>
      <w:spacing/>
      <w:ind/>
    </w:pPr>
    <w:rPr>
      <w:vertAlign w:val="superscript"/>
    </w:rPr>
  </w:style>
  <w:style w:type="character" w:styleId="921">
    <w:name w:val="FollowedHyperlink"/>
    <w:basedOn w:val="75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22">
    <w:name w:val="TOC Heading"/>
    <w:uiPriority w:val="39"/>
    <w:unhideWhenUsed/>
    <w:pPr>
      <w:pBdr/>
      <w:spacing/>
      <w:ind/>
    </w:pPr>
  </w:style>
  <w:style w:type="paragraph" w:styleId="923">
    <w:name w:val="table of figures"/>
    <w:basedOn w:val="747"/>
    <w:next w:val="747"/>
    <w:uiPriority w:val="99"/>
    <w:unhideWhenUsed/>
    <w:pPr>
      <w:pBdr/>
      <w:spacing w:after="0"/>
      <w:ind/>
    </w:pPr>
  </w:style>
  <w:style w:type="character" w:styleId="924">
    <w:name w:val="Hyperlink"/>
    <w:uiPriority w:val="99"/>
    <w:semiHidden/>
    <w:unhideWhenUsed/>
    <w:pPr>
      <w:pBdr/>
      <w:spacing/>
      <w:ind/>
    </w:pPr>
    <w:rPr>
      <w:color w:val="0563c1" w:themeColor="hyperlink"/>
      <w:u w:val="single"/>
    </w:rPr>
  </w:style>
  <w:style w:type="paragraph" w:styleId="925">
    <w:name w:val="HTML Preformatted"/>
    <w:basedOn w:val="747"/>
    <w:link w:val="926"/>
    <w:uiPriority w:val="99"/>
    <w:semiHidden/>
    <w:unhideWhenUsed/>
    <w:pPr>
      <w:pBdr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 w:after="0" w:line="240" w:lineRule="auto"/>
      <w:ind/>
    </w:pPr>
    <w:rPr>
      <w:rFonts w:ascii="Courier New" w:hAnsi="Courier New" w:eastAsia="Times New Roman" w:cs="Courier New"/>
      <w:sz w:val="20"/>
      <w:szCs w:val="20"/>
      <w:lang w:eastAsia="uk-UA"/>
    </w:rPr>
  </w:style>
  <w:style w:type="character" w:styleId="926" w:customStyle="1">
    <w:name w:val="Стандартний HTML Знак"/>
    <w:basedOn w:val="757"/>
    <w:link w:val="925"/>
    <w:uiPriority w:val="99"/>
    <w:semiHidden/>
    <w:pPr>
      <w:pBdr/>
      <w:spacing/>
      <w:ind/>
    </w:pPr>
    <w:rPr>
      <w:rFonts w:ascii="Courier New" w:hAnsi="Courier New" w:eastAsia="Times New Roman" w:cs="Courier New"/>
      <w:sz w:val="20"/>
      <w:szCs w:val="20"/>
      <w:lang w:val="uk-UA" w:eastAsia="uk-UA"/>
    </w:rPr>
  </w:style>
  <w:style w:type="paragraph" w:styleId="927">
    <w:name w:val="List Paragraph"/>
    <w:basedOn w:val="747"/>
    <w:uiPriority w:val="34"/>
    <w:qFormat/>
    <w:pPr>
      <w:pBdr/>
      <w:spacing/>
      <w:ind w:left="720"/>
      <w:contextualSpacing w:val="true"/>
    </w:pPr>
  </w:style>
  <w:style w:type="paragraph" w:styleId="928" w:customStyle="1">
    <w:name w:val="rvps2"/>
    <w:basedOn w:val="747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  <w:lang w:eastAsia="uk-UA"/>
    </w:rPr>
  </w:style>
  <w:style w:type="character" w:styleId="929" w:customStyle="1">
    <w:name w:val="4247"/>
    <w:basedOn w:val="757"/>
    <w:pPr>
      <w:pBdr/>
      <w:spacing/>
      <w:ind/>
    </w:pPr>
  </w:style>
  <w:style w:type="paragraph" w:styleId="930">
    <w:name w:val="Balloon Text"/>
    <w:basedOn w:val="747"/>
    <w:link w:val="931"/>
    <w:uiPriority w:val="99"/>
    <w:semiHidden/>
    <w:unhideWhenUsed/>
    <w:pPr>
      <w:pBdr/>
      <w:spacing w:after="0" w:line="240" w:lineRule="auto"/>
      <w:ind/>
    </w:pPr>
    <w:rPr>
      <w:rFonts w:cs="Calibri"/>
      <w:sz w:val="18"/>
      <w:szCs w:val="18"/>
    </w:rPr>
  </w:style>
  <w:style w:type="character" w:styleId="931" w:customStyle="1">
    <w:name w:val="Текст у виносці Знак"/>
    <w:basedOn w:val="757"/>
    <w:link w:val="930"/>
    <w:uiPriority w:val="99"/>
    <w:semiHidden/>
    <w:pPr>
      <w:pBdr/>
      <w:spacing/>
      <w:ind/>
    </w:pPr>
    <w:rPr>
      <w:rFonts w:ascii="Calibri" w:hAnsi="Calibri" w:eastAsia="Calibri" w:cs="Calibri"/>
      <w:sz w:val="18"/>
      <w:szCs w:val="18"/>
      <w:lang w:val="uk-UA"/>
    </w:rPr>
  </w:style>
  <w:style w:type="character" w:styleId="932" w:customStyle="1">
    <w:name w:val="1332"/>
    <w:pPr>
      <w:pBdr/>
      <w:spacing/>
      <w:ind/>
    </w:pPr>
  </w:style>
  <w:style w:type="character" w:styleId="933" w:customStyle="1">
    <w:name w:val="Основной текст_"/>
    <w:basedOn w:val="757"/>
    <w:link w:val="934"/>
    <w:pPr>
      <w:pBdr/>
      <w:spacing/>
      <w:ind/>
    </w:pPr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styleId="934" w:customStyle="1">
    <w:name w:val="Основной текст1"/>
    <w:basedOn w:val="747"/>
    <w:link w:val="933"/>
    <w:pPr>
      <w:widowControl w:val="false"/>
      <w:pBdr/>
      <w:shd w:val="clear" w:color="auto" w:fill="ffffff"/>
      <w:spacing w:after="0" w:line="259" w:lineRule="auto"/>
      <w:ind w:firstLine="400"/>
    </w:pPr>
    <w:rPr>
      <w:rFonts w:ascii="Times New Roman" w:hAnsi="Times New Roman" w:eastAsia="Times New Roman"/>
      <w:sz w:val="26"/>
      <w:szCs w:val="26"/>
      <w:lang w:val="en-US"/>
    </w:rPr>
  </w:style>
  <w:style w:type="table" w:styleId="935">
    <w:name w:val="Table Grid"/>
    <w:basedOn w:val="758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6">
    <w:name w:val="Normal (Web)"/>
    <w:basedOn w:val="747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  <w:lang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yperlink" Target="https://zakon.rada.gov.ua/laws/show/1768-14" TargetMode="External"/><Relationship Id="rId13" Type="http://schemas.openxmlformats.org/officeDocument/2006/relationships/hyperlink" Target="https://zakon.rada.gov.ua/laws/show/796-12" TargetMode="External"/><Relationship Id="rId14" Type="http://schemas.openxmlformats.org/officeDocument/2006/relationships/hyperlink" Target="https://zakon.rada.gov.ua/laws/show/3551-12" TargetMode="External"/><Relationship Id="rId15" Type="http://schemas.openxmlformats.org/officeDocument/2006/relationships/hyperlink" Target="https://zakon.rada.gov.ua/laws/show/3551-12" TargetMode="External"/><Relationship Id="rId16" Type="http://schemas.openxmlformats.org/officeDocument/2006/relationships/hyperlink" Target="https://zakon.rada.gov.ua/laws/show/3551-12" TargetMode="External"/><Relationship Id="rId17" Type="http://schemas.openxmlformats.org/officeDocument/2006/relationships/hyperlink" Target="https://zakon.rada.gov.ua/laws/show/1768-14" TargetMode="External"/><Relationship Id="rId18" Type="http://schemas.openxmlformats.org/officeDocument/2006/relationships/hyperlink" Target="https://zakon.rada.gov.ua/laws/show/796-12" TargetMode="External"/><Relationship Id="rId19" Type="http://schemas.openxmlformats.org/officeDocument/2006/relationships/hyperlink" Target="https://zakon.rada.gov.ua/laws/show/3551-12" TargetMode="External"/><Relationship Id="rId20" Type="http://schemas.openxmlformats.org/officeDocument/2006/relationships/hyperlink" Target="https://zakon.rada.gov.ua/laws/show/3551-12" TargetMode="External"/><Relationship Id="rId21" Type="http://schemas.openxmlformats.org/officeDocument/2006/relationships/hyperlink" Target="https://zakon.rada.gov.ua/laws/show/3551-1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Adminov Admin </cp:lastModifiedBy>
  <cp:revision>54</cp:revision>
  <dcterms:created xsi:type="dcterms:W3CDTF">2021-11-24T10:01:00Z</dcterms:created>
  <dcterms:modified xsi:type="dcterms:W3CDTF">2024-12-07T13:53:25Z</dcterms:modified>
</cp:coreProperties>
</file>