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left="5954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 w:eastAsia="Batang"/>
          <w:color w:val="000000" w:themeColor="text1"/>
          <w:sz w:val="28"/>
          <w:lang w:eastAsia="ru-RU"/>
        </w:rPr>
        <w:t xml:space="preserve">Д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одаток</w:t>
      </w:r>
      <w:r>
        <w:rPr>
          <w:rFonts w:ascii="Times New Roman" w:hAnsi="Times New Roman"/>
          <w:bCs/>
          <w:iCs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</w:r>
    </w:p>
    <w:p>
      <w:pPr>
        <w:pBdr/>
        <w:spacing w:after="0" w:line="240" w:lineRule="auto"/>
        <w:ind w:left="5954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до рішення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виконавчого комітету міської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ради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</w:r>
      <w:r>
        <w:rPr>
          <w:rFonts w:ascii="Times New Roman" w:hAnsi="Times New Roman"/>
          <w:iCs/>
          <w:sz w:val="28"/>
          <w:szCs w:val="28"/>
        </w:rPr>
      </w:r>
    </w:p>
    <w:p>
      <w:pPr>
        <w:pBdr/>
        <w:spacing w:after="0" w:line="240" w:lineRule="auto"/>
        <w:ind w:left="5954"/>
        <w:jc w:val="both"/>
        <w:rPr>
          <w:rFonts w:ascii="Times New Roman" w:hAnsi="Times New Roman" w:eastAsia="Batang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28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листопада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4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року № 252</w:t>
      </w:r>
      <w:r>
        <w:rPr>
          <w:rFonts w:ascii="Times New Roman" w:hAnsi="Times New Roman" w:eastAsia="Batang"/>
          <w:sz w:val="28"/>
          <w:szCs w:val="28"/>
        </w:rPr>
      </w:r>
      <w:r>
        <w:rPr>
          <w:rFonts w:ascii="Times New Roman" w:hAnsi="Times New Roman" w:eastAsia="Batang"/>
          <w:sz w:val="28"/>
          <w:szCs w:val="28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sz w:val="52"/>
          <w:szCs w:val="20"/>
          <w:lang w:eastAsia="ru-RU"/>
        </w:rPr>
      </w:pPr>
      <w:r>
        <w:rPr>
          <w:rFonts w:ascii="Times New Roman" w:hAnsi="Times New Roman" w:eastAsia="Batang"/>
          <w:sz w:val="52"/>
          <w:szCs w:val="20"/>
          <w:lang w:eastAsia="ru-RU"/>
        </w:rPr>
      </w:r>
      <w:r>
        <w:rPr>
          <w:rFonts w:ascii="Times New Roman" w:hAnsi="Times New Roman" w:eastAsia="Batang"/>
          <w:sz w:val="52"/>
          <w:szCs w:val="20"/>
          <w:lang w:eastAsia="ru-RU"/>
        </w:rPr>
      </w:r>
      <w:r>
        <w:rPr>
          <w:rFonts w:ascii="Times New Roman" w:hAnsi="Times New Roman" w:eastAsia="Batang"/>
          <w:sz w:val="52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sz w:val="52"/>
          <w:szCs w:val="20"/>
          <w:lang w:eastAsia="ru-RU"/>
        </w:rPr>
      </w:pPr>
      <w:r>
        <w:rPr>
          <w:rFonts w:ascii="Times New Roman" w:hAnsi="Times New Roman" w:eastAsia="Batang"/>
          <w:sz w:val="52"/>
          <w:szCs w:val="20"/>
          <w:lang w:eastAsia="ru-RU"/>
        </w:rPr>
      </w:r>
      <w:r>
        <w:rPr>
          <w:rFonts w:ascii="Times New Roman" w:hAnsi="Times New Roman" w:eastAsia="Batang"/>
          <w:sz w:val="52"/>
          <w:szCs w:val="20"/>
          <w:lang w:eastAsia="ru-RU"/>
        </w:rPr>
      </w:r>
      <w:r>
        <w:rPr>
          <w:rFonts w:ascii="Times New Roman" w:hAnsi="Times New Roman" w:eastAsia="Batang"/>
          <w:sz w:val="52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sz w:val="52"/>
          <w:szCs w:val="20"/>
          <w:lang w:eastAsia="ru-RU"/>
        </w:rPr>
      </w:pPr>
      <w:r>
        <w:rPr>
          <w:rFonts w:ascii="Times New Roman" w:hAnsi="Times New Roman" w:eastAsia="Batang"/>
          <w:sz w:val="52"/>
          <w:szCs w:val="20"/>
          <w:lang w:eastAsia="ru-RU"/>
        </w:rPr>
      </w:r>
      <w:r>
        <w:rPr>
          <w:rFonts w:ascii="Times New Roman" w:hAnsi="Times New Roman" w:eastAsia="Batang"/>
          <w:sz w:val="52"/>
          <w:szCs w:val="20"/>
          <w:lang w:eastAsia="ru-RU"/>
        </w:rPr>
      </w:r>
      <w:r>
        <w:rPr>
          <w:rFonts w:ascii="Times New Roman" w:hAnsi="Times New Roman" w:eastAsia="Batang"/>
          <w:sz w:val="52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sz w:val="52"/>
          <w:szCs w:val="20"/>
          <w:lang w:eastAsia="ru-RU"/>
        </w:rPr>
      </w:pPr>
      <w:r>
        <w:rPr>
          <w:rFonts w:ascii="Times New Roman" w:hAnsi="Times New Roman" w:eastAsia="Batang"/>
          <w:sz w:val="52"/>
          <w:szCs w:val="20"/>
          <w:lang w:eastAsia="ru-RU"/>
        </w:rPr>
      </w:r>
      <w:r>
        <w:rPr>
          <w:rFonts w:ascii="Times New Roman" w:hAnsi="Times New Roman" w:eastAsia="Batang"/>
          <w:sz w:val="52"/>
          <w:szCs w:val="20"/>
          <w:lang w:eastAsia="ru-RU"/>
        </w:rPr>
      </w:r>
      <w:r>
        <w:rPr>
          <w:rFonts w:ascii="Times New Roman" w:hAnsi="Times New Roman" w:eastAsia="Batang"/>
          <w:sz w:val="52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sz w:val="52"/>
          <w:szCs w:val="20"/>
          <w:lang w:eastAsia="ru-RU"/>
        </w:rPr>
      </w:pPr>
      <w:r>
        <w:rPr>
          <w:rFonts w:ascii="Times New Roman" w:hAnsi="Times New Roman" w:eastAsia="Batang"/>
          <w:sz w:val="52"/>
          <w:szCs w:val="20"/>
          <w:lang w:eastAsia="ru-RU"/>
        </w:rPr>
      </w:r>
      <w:r>
        <w:rPr>
          <w:rFonts w:ascii="Times New Roman" w:hAnsi="Times New Roman" w:eastAsia="Batang"/>
          <w:sz w:val="52"/>
          <w:szCs w:val="20"/>
          <w:lang w:eastAsia="ru-RU"/>
        </w:rPr>
      </w:r>
      <w:r>
        <w:rPr>
          <w:rFonts w:ascii="Times New Roman" w:hAnsi="Times New Roman" w:eastAsia="Batang"/>
          <w:sz w:val="52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sz w:val="52"/>
          <w:szCs w:val="20"/>
          <w:lang w:eastAsia="ru-RU"/>
        </w:rPr>
      </w:pPr>
      <w:r>
        <w:rPr>
          <w:rFonts w:ascii="Times New Roman" w:hAnsi="Times New Roman" w:eastAsia="Batang"/>
          <w:sz w:val="52"/>
          <w:szCs w:val="20"/>
          <w:lang w:eastAsia="ru-RU"/>
        </w:rPr>
      </w:r>
      <w:r>
        <w:rPr>
          <w:rFonts w:ascii="Times New Roman" w:hAnsi="Times New Roman" w:eastAsia="Batang"/>
          <w:sz w:val="52"/>
          <w:szCs w:val="20"/>
          <w:lang w:eastAsia="ru-RU"/>
        </w:rPr>
      </w:r>
      <w:r>
        <w:rPr>
          <w:rFonts w:ascii="Times New Roman" w:hAnsi="Times New Roman" w:eastAsia="Batang"/>
          <w:sz w:val="52"/>
          <w:szCs w:val="20"/>
          <w:lang w:eastAsia="ru-RU"/>
        </w:rPr>
      </w:r>
    </w:p>
    <w:p>
      <w:pPr>
        <w:pBdr/>
        <w:spacing w:after="0" w:line="240" w:lineRule="auto"/>
        <w:ind w:right="-141"/>
        <w:jc w:val="center"/>
        <w:rPr>
          <w:rFonts w:ascii="Times New Roman" w:hAnsi="Times New Roman" w:eastAsia="Batang"/>
          <w:b/>
          <w:sz w:val="36"/>
          <w:szCs w:val="36"/>
          <w:lang w:eastAsia="ru-RU"/>
        </w:rPr>
      </w:pPr>
      <w:r>
        <w:rPr>
          <w:rFonts w:ascii="Times New Roman" w:hAnsi="Times New Roman" w:eastAsia="Batang"/>
          <w:b/>
          <w:sz w:val="36"/>
          <w:szCs w:val="36"/>
          <w:lang w:eastAsia="ru-RU"/>
        </w:rPr>
        <w:t xml:space="preserve">ПРОЄКТ  ПРОГРАМИ </w:t>
      </w:r>
      <w:r>
        <w:rPr>
          <w:rFonts w:ascii="Times New Roman" w:hAnsi="Times New Roman" w:eastAsia="Batang"/>
          <w:b/>
          <w:sz w:val="36"/>
          <w:szCs w:val="36"/>
          <w:lang w:eastAsia="ru-RU"/>
        </w:rPr>
      </w:r>
      <w:r>
        <w:rPr>
          <w:rFonts w:ascii="Times New Roman" w:hAnsi="Times New Roman" w:eastAsia="Batang"/>
          <w:b/>
          <w:sz w:val="36"/>
          <w:szCs w:val="36"/>
          <w:lang w:eastAsia="ru-RU"/>
        </w:rPr>
      </w:r>
    </w:p>
    <w:p>
      <w:pPr>
        <w:pBdr/>
        <w:spacing w:after="0" w:line="240" w:lineRule="auto"/>
        <w:ind w:right="-141"/>
        <w:jc w:val="center"/>
        <w:rPr>
          <w:rFonts w:ascii="Times New Roman" w:hAnsi="Times New Roman" w:eastAsia="Batang"/>
          <w:b/>
          <w:sz w:val="36"/>
          <w:szCs w:val="36"/>
          <w:lang w:eastAsia="ru-RU"/>
        </w:rPr>
      </w:pPr>
      <w:r>
        <w:rPr>
          <w:rFonts w:ascii="Times New Roman" w:hAnsi="Times New Roman" w:eastAsia="Batang"/>
          <w:b/>
          <w:sz w:val="36"/>
          <w:szCs w:val="36"/>
          <w:lang w:eastAsia="ru-RU"/>
        </w:rPr>
        <w:t xml:space="preserve">організації харчування дітей у закладах </w:t>
      </w:r>
      <w:r>
        <w:rPr>
          <w:rFonts w:ascii="Times New Roman" w:hAnsi="Times New Roman" w:eastAsia="Batang"/>
          <w:b/>
          <w:sz w:val="36"/>
          <w:szCs w:val="36"/>
          <w:lang w:eastAsia="ru-RU"/>
        </w:rPr>
      </w:r>
      <w:r>
        <w:rPr>
          <w:rFonts w:ascii="Times New Roman" w:hAnsi="Times New Roman" w:eastAsia="Batang"/>
          <w:b/>
          <w:sz w:val="36"/>
          <w:szCs w:val="36"/>
          <w:lang w:eastAsia="ru-RU"/>
        </w:rPr>
      </w:r>
    </w:p>
    <w:p>
      <w:pPr>
        <w:pBdr/>
        <w:spacing w:after="0" w:line="240" w:lineRule="auto"/>
        <w:ind w:right="-141"/>
        <w:jc w:val="center"/>
        <w:rPr>
          <w:rFonts w:ascii="Times New Roman" w:hAnsi="Times New Roman" w:eastAsia="Batang"/>
          <w:b/>
          <w:sz w:val="36"/>
          <w:szCs w:val="36"/>
          <w:lang w:eastAsia="ru-RU"/>
        </w:rPr>
      </w:pPr>
      <w:r>
        <w:rPr>
          <w:rFonts w:ascii="Times New Roman" w:hAnsi="Times New Roman" w:eastAsia="Batang"/>
          <w:b/>
          <w:sz w:val="36"/>
          <w:szCs w:val="36"/>
          <w:lang w:eastAsia="ru-RU"/>
        </w:rPr>
        <w:t xml:space="preserve">дошкільної освіти Менської міської ради </w:t>
      </w:r>
      <w:r>
        <w:rPr>
          <w:rFonts w:ascii="Times New Roman" w:hAnsi="Times New Roman" w:eastAsia="Batang"/>
          <w:b/>
          <w:sz w:val="36"/>
          <w:szCs w:val="36"/>
          <w:lang w:eastAsia="ru-RU"/>
        </w:rPr>
      </w:r>
      <w:r>
        <w:rPr>
          <w:rFonts w:ascii="Times New Roman" w:hAnsi="Times New Roman" w:eastAsia="Batang"/>
          <w:b/>
          <w:sz w:val="36"/>
          <w:szCs w:val="36"/>
          <w:lang w:eastAsia="ru-RU"/>
        </w:rPr>
      </w:r>
    </w:p>
    <w:p>
      <w:pPr>
        <w:pBdr/>
        <w:spacing w:after="0" w:line="240" w:lineRule="auto"/>
        <w:ind w:right="-141"/>
        <w:jc w:val="center"/>
        <w:rPr>
          <w:rFonts w:ascii="Times New Roman" w:hAnsi="Times New Roman" w:eastAsia="Batang"/>
          <w:b/>
          <w:sz w:val="36"/>
          <w:szCs w:val="36"/>
          <w:lang w:eastAsia="ru-RU"/>
        </w:rPr>
      </w:pPr>
      <w:r>
        <w:rPr>
          <w:rFonts w:ascii="Times New Roman" w:hAnsi="Times New Roman" w:eastAsia="Batang"/>
          <w:b/>
          <w:sz w:val="36"/>
          <w:szCs w:val="36"/>
          <w:lang w:eastAsia="ru-RU"/>
        </w:rPr>
        <w:t xml:space="preserve">на 2025-2027</w:t>
      </w:r>
      <w:r>
        <w:rPr>
          <w:rFonts w:ascii="Times New Roman" w:hAnsi="Times New Roman" w:eastAsia="Batang"/>
          <w:b/>
          <w:sz w:val="36"/>
          <w:szCs w:val="36"/>
          <w:lang w:eastAsia="ru-RU"/>
        </w:rPr>
        <w:t xml:space="preserve"> роки</w:t>
      </w:r>
      <w:r>
        <w:rPr>
          <w:rFonts w:ascii="Times New Roman" w:hAnsi="Times New Roman" w:eastAsia="Batang"/>
          <w:b/>
          <w:sz w:val="36"/>
          <w:szCs w:val="36"/>
          <w:lang w:eastAsia="ru-RU"/>
        </w:rPr>
      </w:r>
      <w:r>
        <w:rPr>
          <w:rFonts w:ascii="Times New Roman" w:hAnsi="Times New Roman" w:eastAsia="Batang"/>
          <w:b/>
          <w:sz w:val="36"/>
          <w:szCs w:val="36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b/>
          <w:sz w:val="28"/>
          <w:szCs w:val="20"/>
          <w:lang w:eastAsia="ru-RU"/>
        </w:rPr>
      </w:pP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b/>
          <w:sz w:val="28"/>
          <w:szCs w:val="20"/>
          <w:lang w:eastAsia="ru-RU"/>
        </w:rPr>
      </w:pP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b/>
          <w:sz w:val="28"/>
          <w:szCs w:val="20"/>
          <w:lang w:eastAsia="ru-RU"/>
        </w:rPr>
      </w:pP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b/>
          <w:sz w:val="28"/>
          <w:szCs w:val="20"/>
          <w:lang w:eastAsia="ru-RU"/>
        </w:rPr>
      </w:pP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b/>
          <w:sz w:val="28"/>
          <w:szCs w:val="20"/>
          <w:lang w:eastAsia="ru-RU"/>
        </w:rPr>
      </w:pP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b/>
          <w:sz w:val="28"/>
          <w:szCs w:val="20"/>
          <w:lang w:eastAsia="ru-RU"/>
        </w:rPr>
      </w:pP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b/>
          <w:sz w:val="28"/>
          <w:szCs w:val="20"/>
          <w:lang w:eastAsia="ru-RU"/>
        </w:rPr>
      </w:pP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b/>
          <w:sz w:val="28"/>
          <w:szCs w:val="20"/>
          <w:lang w:eastAsia="ru-RU"/>
        </w:rPr>
      </w:pP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b/>
          <w:sz w:val="28"/>
          <w:szCs w:val="20"/>
          <w:lang w:eastAsia="ru-RU"/>
        </w:rPr>
      </w:pP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b/>
          <w:sz w:val="28"/>
          <w:szCs w:val="20"/>
          <w:lang w:eastAsia="ru-RU"/>
        </w:rPr>
      </w:pP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b/>
          <w:sz w:val="28"/>
          <w:szCs w:val="20"/>
          <w:lang w:eastAsia="ru-RU"/>
        </w:rPr>
      </w:pP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b/>
          <w:sz w:val="28"/>
          <w:szCs w:val="20"/>
          <w:lang w:eastAsia="ru-RU"/>
        </w:rPr>
      </w:pP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b/>
          <w:sz w:val="28"/>
          <w:szCs w:val="20"/>
          <w:lang w:eastAsia="ru-RU"/>
        </w:rPr>
      </w:pP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b/>
          <w:sz w:val="28"/>
          <w:szCs w:val="20"/>
          <w:lang w:eastAsia="ru-RU"/>
        </w:rPr>
      </w:pP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b/>
          <w:sz w:val="28"/>
          <w:szCs w:val="20"/>
          <w:lang w:eastAsia="ru-RU"/>
        </w:rPr>
      </w:pP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b/>
          <w:sz w:val="28"/>
          <w:szCs w:val="20"/>
          <w:lang w:eastAsia="ru-RU"/>
        </w:rPr>
      </w:pP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b/>
          <w:sz w:val="28"/>
          <w:szCs w:val="20"/>
          <w:lang w:eastAsia="ru-RU"/>
        </w:rPr>
      </w:pP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</w:p>
    <w:p>
      <w:pPr>
        <w:pBdr/>
        <w:spacing w:after="0" w:line="240" w:lineRule="auto"/>
        <w:ind w:right="-141"/>
        <w:jc w:val="center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 xml:space="preserve">м.Мена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Batang"/>
          <w:sz w:val="28"/>
          <w:szCs w:val="28"/>
          <w:lang w:eastAsia="ru-RU"/>
        </w:rPr>
      </w:r>
      <w:r>
        <w:rPr>
          <w:rFonts w:ascii="Times New Roman" w:hAnsi="Times New Roman" w:eastAsia="Batang"/>
          <w:sz w:val="28"/>
          <w:szCs w:val="28"/>
          <w:lang w:eastAsia="ru-RU"/>
        </w:rPr>
      </w:r>
    </w:p>
    <w:p>
      <w:pPr>
        <w:pBdr/>
        <w:spacing w:after="0" w:line="240" w:lineRule="auto"/>
        <w:ind w:right="-141"/>
        <w:jc w:val="center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 xml:space="preserve">2024 рік</w:t>
      </w:r>
      <w:r>
        <w:rPr>
          <w:rFonts w:ascii="Times New Roman" w:hAnsi="Times New Roman" w:eastAsia="Batang"/>
          <w:sz w:val="28"/>
          <w:szCs w:val="28"/>
          <w:lang w:eastAsia="ru-RU"/>
        </w:rPr>
      </w:r>
      <w:r>
        <w:rPr>
          <w:rFonts w:ascii="Times New Roman" w:hAnsi="Times New Roman" w:eastAsia="Batang"/>
          <w:sz w:val="28"/>
          <w:szCs w:val="28"/>
          <w:lang w:eastAsia="ru-RU"/>
        </w:rPr>
      </w:r>
    </w:p>
    <w:p>
      <w:pPr>
        <w:pBdr/>
        <w:spacing/>
        <w:ind w:right="-141"/>
        <w:rPr>
          <w:rFonts w:ascii="Times New Roman" w:hAnsi="Times New Roman" w:eastAsia="Batang"/>
          <w:b/>
          <w:sz w:val="28"/>
          <w:szCs w:val="28"/>
          <w:lang w:eastAsia="ru-RU"/>
        </w:rPr>
      </w:pPr>
      <w:r>
        <w:rPr>
          <w:rFonts w:ascii="Times New Roman" w:hAnsi="Times New Roman" w:eastAsia="Batang"/>
          <w:b/>
          <w:sz w:val="28"/>
          <w:szCs w:val="28"/>
          <w:lang w:eastAsia="ru-RU"/>
        </w:rPr>
        <w:br w:type="page" w:clear="all"/>
      </w:r>
      <w:r>
        <w:rPr>
          <w:rFonts w:ascii="Times New Roman" w:hAnsi="Times New Roman" w:eastAsia="Batang"/>
          <w:b/>
          <w:sz w:val="28"/>
          <w:szCs w:val="28"/>
          <w:lang w:eastAsia="ru-RU"/>
        </w:rPr>
      </w:r>
      <w:r>
        <w:rPr>
          <w:rFonts w:ascii="Times New Roman" w:hAnsi="Times New Roman" w:eastAsia="Batang"/>
          <w:b/>
          <w:sz w:val="28"/>
          <w:szCs w:val="28"/>
          <w:lang w:eastAsia="ru-RU"/>
        </w:rPr>
      </w:r>
    </w:p>
    <w:p>
      <w:pPr>
        <w:pBdr/>
        <w:spacing w:after="0" w:line="240" w:lineRule="auto"/>
        <w:ind w:right="-141"/>
        <w:jc w:val="center"/>
        <w:rPr>
          <w:rFonts w:ascii="Times New Roman" w:hAnsi="Times New Roman" w:eastAsia="Batang"/>
          <w:b/>
          <w:sz w:val="28"/>
          <w:szCs w:val="28"/>
          <w:lang w:eastAsia="ru-RU"/>
        </w:rPr>
      </w:pPr>
      <w:r>
        <w:rPr>
          <w:rFonts w:ascii="Times New Roman" w:hAnsi="Times New Roman" w:eastAsia="Batang"/>
          <w:b/>
          <w:sz w:val="28"/>
          <w:szCs w:val="28"/>
          <w:lang w:eastAsia="ru-RU"/>
        </w:rPr>
        <w:t xml:space="preserve">1. ПАСПОРТ ПРОГРАМИ</w:t>
      </w:r>
      <w:r>
        <w:rPr>
          <w:rFonts w:ascii="Times New Roman" w:hAnsi="Times New Roman" w:eastAsia="Batang"/>
          <w:b/>
          <w:sz w:val="28"/>
          <w:szCs w:val="28"/>
          <w:lang w:eastAsia="ru-RU"/>
        </w:rPr>
      </w:r>
      <w:r>
        <w:rPr>
          <w:rFonts w:ascii="Times New Roman" w:hAnsi="Times New Roman" w:eastAsia="Batang"/>
          <w:b/>
          <w:sz w:val="28"/>
          <w:szCs w:val="28"/>
          <w:lang w:eastAsia="ru-RU"/>
        </w:rPr>
      </w:r>
    </w:p>
    <w:tbl>
      <w:tblPr>
        <w:tblW w:w="9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76"/>
        <w:gridCol w:w="3525"/>
        <w:gridCol w:w="1877"/>
        <w:gridCol w:w="1862"/>
        <w:gridCol w:w="1864"/>
      </w:tblGrid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Назва програми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0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Програма організації харчування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дітей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 закладах дошкільної осві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ти Менської міської ради на 2025-2027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Ініціатор розроблення програми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0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освіти Менської міської ради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466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Підстави для розробки Програми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03" w:type="dxa"/>
            <w:textDirection w:val="lrTb"/>
            <w:noWrap w:val="false"/>
          </w:tcPr>
          <w:p>
            <w:pPr>
              <w:pStyle w:val="941"/>
              <w:pBdr/>
              <w:shd w:val="clear" w:color="auto" w:fill="ffffff"/>
              <w:spacing w:after="0" w:afterAutospacing="0" w:before="0" w:beforeAutospacing="0"/>
              <w:ind/>
              <w:jc w:val="both"/>
              <w:rPr>
                <w:rFonts w:eastAsia="Batang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Відповідно до </w:t>
            </w:r>
            <w:r>
              <w:rPr>
                <w:rFonts w:eastAsia="Batang"/>
                <w:sz w:val="28"/>
                <w:szCs w:val="28"/>
                <w:lang w:eastAsia="ru-RU"/>
              </w:rPr>
              <w:t xml:space="preserve">вимог Законів України «Про освіту», «Про дошкільну освіту», «Про охорону дитинства», </w:t>
            </w:r>
            <w:r>
              <w:rPr>
                <w:sz w:val="28"/>
                <w:szCs w:val="28"/>
                <w:lang w:eastAsia="ru-RU"/>
              </w:rPr>
              <w:t xml:space="preserve">«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Про державну соціальну допомогу малозабезпеченим сім’ям»,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color w:val="auto"/>
                <w:sz w:val="28"/>
                <w:szCs w:val="28"/>
                <w:lang w:eastAsia="ru-RU"/>
              </w:rPr>
              <w:t xml:space="preserve">«</w:t>
            </w:r>
            <w:r>
              <w:rPr>
                <w:color w:val="auto"/>
                <w:sz w:val="28"/>
                <w:szCs w:val="28"/>
              </w:rPr>
              <w:t xml:space="preserve">Про статус і соціальний захист громадян, які постраждали внаслідок Чорнобильської катастрофи</w:t>
            </w:r>
            <w:r>
              <w:rPr>
                <w:bCs/>
                <w:color w:val="auto"/>
                <w:sz w:val="28"/>
                <w:szCs w:val="28"/>
                <w:shd w:val="clear" w:color="auto" w:fill="ffffff"/>
              </w:rPr>
              <w:t xml:space="preserve">»</w:t>
            </w:r>
            <w:r>
              <w:rPr>
                <w:color w:val="auto"/>
                <w:sz w:val="28"/>
                <w:szCs w:val="28"/>
              </w:rPr>
              <w:t xml:space="preserve">, </w:t>
            </w:r>
            <w:r>
              <w:rPr>
                <w:rFonts w:eastAsia="Batang"/>
                <w:color w:val="auto"/>
                <w:sz w:val="28"/>
                <w:szCs w:val="28"/>
                <w:lang w:eastAsia="ru-RU"/>
              </w:rPr>
              <w:t xml:space="preserve">«</w:t>
            </w:r>
            <w:r>
              <w:rPr>
                <w:color w:val="auto"/>
                <w:sz w:val="28"/>
                <w:szCs w:val="28"/>
              </w:rPr>
              <w:t xml:space="preserve">Про статус ветеранів війни, гарантії їх соціального захисту</w:t>
            </w:r>
            <w:r>
              <w:rPr>
                <w:bCs/>
                <w:color w:val="auto"/>
                <w:sz w:val="28"/>
                <w:szCs w:val="28"/>
                <w:shd w:val="clear" w:color="auto" w:fill="ffffff"/>
              </w:rPr>
              <w:t xml:space="preserve">»</w:t>
            </w:r>
            <w:r>
              <w:rPr>
                <w:color w:val="auto"/>
                <w:sz w:val="28"/>
                <w:szCs w:val="28"/>
              </w:rPr>
              <w:t xml:space="preserve">,</w:t>
            </w:r>
            <w:r>
              <w:rPr>
                <w:rFonts w:eastAsia="Batang"/>
                <w:color w:val="7b7b7b" w:themeColor="accent3" w:themeShade="B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Batang"/>
                <w:sz w:val="28"/>
                <w:szCs w:val="28"/>
                <w:lang w:eastAsia="ru-RU"/>
              </w:rPr>
              <w:t xml:space="preserve">«Про внесення змін до деяких Законів України щодо забезпечення безкоштовним харчуванням дітей внутрішньо переміщених осіб» від 16.01.2020 №474-І</w:t>
            </w:r>
            <w:r>
              <w:rPr>
                <w:rFonts w:eastAsia="Batang"/>
                <w:sz w:val="28"/>
                <w:szCs w:val="28"/>
                <w:lang w:val="en-US" w:eastAsia="ru-RU"/>
              </w:rPr>
              <w:t xml:space="preserve">X</w:t>
            </w:r>
            <w:r>
              <w:rPr>
                <w:rFonts w:eastAsia="Batang"/>
                <w:sz w:val="28"/>
                <w:szCs w:val="28"/>
                <w:lang w:eastAsia="ru-RU"/>
              </w:rPr>
              <w:t xml:space="preserve">, «Про внесення змін до деяких законів України щодо забезпечення безкоштовним харчуванням дітей, один з батьків яких загинув (пропав безвісти), помер під час захисту незалежності та суверенітету України» від 05.11.2020 №978-І</w:t>
            </w:r>
            <w:r>
              <w:rPr>
                <w:rFonts w:eastAsia="Batang"/>
                <w:sz w:val="28"/>
                <w:szCs w:val="28"/>
                <w:lang w:val="en-US" w:eastAsia="ru-RU"/>
              </w:rPr>
              <w:t xml:space="preserve">X</w:t>
            </w:r>
            <w:r>
              <w:rPr>
                <w:rFonts w:eastAsia="Batang"/>
                <w:sz w:val="28"/>
                <w:szCs w:val="28"/>
                <w:lang w:eastAsia="ru-RU"/>
              </w:rPr>
              <w:t xml:space="preserve">, постанов Кабінету Міністрів України від 02.02.</w:t>
            </w:r>
            <w:r>
              <w:rPr>
                <w:rFonts w:eastAsia="Batang"/>
                <w:sz w:val="28"/>
                <w:szCs w:val="28"/>
                <w:lang w:eastAsia="ru-RU"/>
              </w:rPr>
              <w:t xml:space="preserve">2011 №116 «Про затвердження 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вартість», від 18.01.2016  №16 </w:t>
            </w:r>
            <w:r>
              <w:rPr>
                <w:rFonts w:eastAsia="Batang"/>
                <w:sz w:val="28"/>
                <w:szCs w:val="28"/>
                <w:lang w:eastAsia="ru-RU"/>
              </w:rPr>
              <w:t xml:space="preserve">«Про внесення змін до Порядку надання послуг з харчування дітей у дошкільних, учнів у загальноосвітніх та професійно-технічних закладах, операції з надання яких звільняються від обкладення податком на додану вартість», від 24.03.2021 №305 «Про затвердження</w:t>
            </w:r>
            <w:r>
              <w:rPr>
                <w:sz w:val="28"/>
                <w:szCs w:val="28"/>
              </w:rPr>
              <w:t xml:space="preserve"> Порядку організації харчування у закладах освіти та дитячих закладах оздоровлення та відпочинку</w:t>
            </w:r>
            <w:r>
              <w:rPr>
                <w:rFonts w:eastAsia="Batang"/>
                <w:sz w:val="28"/>
                <w:szCs w:val="28"/>
                <w:lang w:eastAsia="ru-RU"/>
              </w:rPr>
              <w:t xml:space="preserve">» (зі змінами), наказу </w:t>
            </w:r>
            <w:r>
              <w:rPr>
                <w:rFonts w:eastAsia="Batang"/>
                <w:sz w:val="28"/>
                <w:szCs w:val="28"/>
                <w:lang w:eastAsia="ru-RU"/>
              </w:rPr>
              <w:t xml:space="preserve">Міністерст</w:t>
            </w:r>
            <w:r>
              <w:rPr>
                <w:rFonts w:eastAsia="Batang"/>
                <w:sz w:val="28"/>
                <w:szCs w:val="28"/>
                <w:lang w:eastAsia="ru-RU"/>
              </w:rPr>
              <w:t xml:space="preserve">ва освіти і науки України від 21.11.2002  №667 «Про затвердження Порядку встановлення плати для батьків за перебування дітей у державних і комунальних дошкільних та інтернатних навчальних закладах» (зі змінами), від 26.08.2002 №1243 «Про невідкладні питанн</w:t>
            </w:r>
            <w:r>
              <w:rPr>
                <w:rFonts w:eastAsia="Batang"/>
                <w:sz w:val="28"/>
                <w:szCs w:val="28"/>
                <w:lang w:eastAsia="ru-RU"/>
              </w:rPr>
              <w:t xml:space="preserve">я діяльності дошкільних та інтернатних навчальних закладів» (зі змінами) та керуючись рішеннями дванадцятої сесії Менської міської ради восьмого скликання від 26.10.2021 № 597 «Про переведення закладів загальної середньої, дошкільної, позашкільної освіти, </w:t>
            </w:r>
            <w:r>
              <w:rPr>
                <w:rFonts w:eastAsia="Batang"/>
                <w:sz w:val="28"/>
                <w:szCs w:val="28"/>
                <w:lang w:eastAsia="ru-RU"/>
              </w:rPr>
              <w:t xml:space="preserve">Степанівського</w:t>
            </w:r>
            <w:r>
              <w:rPr>
                <w:rFonts w:eastAsia="Batang"/>
                <w:sz w:val="28"/>
                <w:szCs w:val="28"/>
                <w:lang w:eastAsia="ru-RU"/>
              </w:rPr>
              <w:t xml:space="preserve"> міжшкільного навчально-виробничого комбінату та Комунальної установи «Менський </w:t>
            </w:r>
            <w:r>
              <w:rPr>
                <w:rFonts w:eastAsia="Batang"/>
                <w:sz w:val="28"/>
                <w:szCs w:val="28"/>
                <w:lang w:eastAsia="ru-RU"/>
              </w:rPr>
              <w:t xml:space="preserve">інклюзивно</w:t>
            </w:r>
            <w:r>
              <w:rPr>
                <w:rFonts w:eastAsia="Batang"/>
                <w:sz w:val="28"/>
                <w:szCs w:val="28"/>
                <w:lang w:eastAsia="ru-RU"/>
              </w:rPr>
              <w:t xml:space="preserve">-ресурсний це</w:t>
            </w:r>
            <w:r>
              <w:rPr>
                <w:rFonts w:eastAsia="Batang"/>
                <w:sz w:val="28"/>
                <w:szCs w:val="28"/>
                <w:lang w:eastAsia="ru-RU"/>
              </w:rPr>
              <w:t xml:space="preserve">нтр» Менської міської ради Чернігівської області на умови самостійного ведення господарської діяльності та бухгалтерського обліку», № 596 «Про створення Комунальної установи «Центр з обслуговування освітніх установ та закладів освіти Менської міської ради»</w:t>
            </w:r>
            <w:r>
              <w:rPr>
                <w:rFonts w:eastAsia="Batang"/>
                <w:sz w:val="28"/>
                <w:szCs w:val="28"/>
                <w:lang w:eastAsia="ru-RU"/>
              </w:rPr>
            </w:r>
            <w:r>
              <w:rPr>
                <w:rFonts w:eastAsia="Batang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Розробник Програми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освіти Менської міської ради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Відповідальний виконавець Програми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освіти Менської міської ради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27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Учасники Програми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03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освіти Менської міської ради, заклади дошкільної освіти, фінансове управління Менської міської ради, Комунальна установа «Центр з обслуговування освітніх установ та закладів освіти»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84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Дія Програми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03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Batang"/>
                <w:sz w:val="28"/>
                <w:szCs w:val="28"/>
                <w:lang w:eastAsia="ru-RU"/>
              </w:rPr>
              <w:t xml:space="preserve">Дія програми поширюється на територію населених пунктів, які увійшли до складу Менської міської територіальної громади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37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Строк реалізації Програми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2025-2027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37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Джерела фінансування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Бюджет Менської міської територіальної громади, інші джерела фінансування, не заборонені законодавством України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37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Обсяги фінансування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Обсяг коштів визначається рішенням сесії міської ради на відповідний рік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11.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Загальний орієнтовний обсяг фінансових ресурсів, необхідних для реалізації програми 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2025-2027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рік (грн)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рік (грн)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рік (грн)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16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11.1.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Загальний орієнтовний обсяг фінансових ресурсів, необхідних для реалізації програми, всього: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 тому числі: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5 4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87 300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,00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6 728 200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,00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7 330 550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 00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6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11.2.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кошти бюджету Менської міської ТГ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*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7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4 887 300,00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6 028 200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,00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6 530 550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,00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25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11.3.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кошти спеціального фонду (плата за послуги, що надаються бюджетними установами згідно з їх основною діяльністю, спонсорські кошти, надходження благодійних внесків від батьків в натуральній формі, інші джерела коштів, не заборонених законодавством)**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7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600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000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,00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700 000,00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800 000,00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</w:tbl>
    <w:p>
      <w:pPr>
        <w:pStyle w:val="940"/>
        <w:pBdr/>
        <w:spacing w:after="0" w:line="240" w:lineRule="auto"/>
        <w:ind w:right="-141" w:left="0"/>
        <w:rPr>
          <w:rFonts w:ascii="Times New Roman" w:hAnsi="Times New Roman" w:eastAsia="Batang"/>
          <w:sz w:val="20"/>
          <w:szCs w:val="20"/>
          <w:lang w:eastAsia="ru-RU"/>
        </w:rPr>
      </w:pPr>
      <w:r>
        <w:rPr>
          <w:rFonts w:ascii="Times New Roman" w:hAnsi="Times New Roman" w:eastAsia="Batang"/>
          <w:sz w:val="20"/>
          <w:szCs w:val="20"/>
          <w:lang w:eastAsia="ru-RU"/>
        </w:rPr>
      </w:r>
      <w:r>
        <w:rPr>
          <w:rFonts w:ascii="Times New Roman" w:hAnsi="Times New Roman" w:eastAsia="Batang"/>
          <w:sz w:val="20"/>
          <w:szCs w:val="20"/>
          <w:lang w:eastAsia="ru-RU"/>
        </w:rPr>
      </w:r>
      <w:r>
        <w:rPr>
          <w:rFonts w:ascii="Times New Roman" w:hAnsi="Times New Roman" w:eastAsia="Batang"/>
          <w:sz w:val="20"/>
          <w:szCs w:val="20"/>
          <w:lang w:eastAsia="ru-RU"/>
        </w:rPr>
      </w:r>
    </w:p>
    <w:p>
      <w:pPr>
        <w:pStyle w:val="940"/>
        <w:pBdr/>
        <w:spacing w:after="0" w:line="240" w:lineRule="auto"/>
        <w:ind w:right="-141" w:left="0"/>
        <w:rPr>
          <w:rFonts w:ascii="Times New Roman" w:hAnsi="Times New Roman" w:eastAsia="Batang"/>
          <w:sz w:val="20"/>
          <w:szCs w:val="20"/>
          <w:lang w:eastAsia="ru-RU"/>
        </w:rPr>
      </w:pPr>
      <w:r>
        <w:rPr>
          <w:rFonts w:ascii="Times New Roman" w:hAnsi="Times New Roman" w:eastAsia="Batang"/>
          <w:sz w:val="20"/>
          <w:szCs w:val="20"/>
          <w:lang w:eastAsia="ru-RU"/>
        </w:rPr>
        <w:t xml:space="preserve">*</w:t>
      </w:r>
      <w:r>
        <w:rPr>
          <w:rFonts w:ascii="Times New Roman" w:hAnsi="Times New Roman" w:eastAsia="Batang"/>
          <w:sz w:val="20"/>
          <w:szCs w:val="20"/>
          <w:lang w:val="ru-RU" w:eastAsia="ru-RU"/>
        </w:rPr>
        <w:t xml:space="preserve">*</w:t>
      </w:r>
      <w:r>
        <w:rPr>
          <w:rFonts w:ascii="Times New Roman" w:hAnsi="Times New Roman" w:eastAsia="Batang"/>
          <w:sz w:val="20"/>
          <w:szCs w:val="20"/>
          <w:lang w:eastAsia="ru-RU"/>
        </w:rPr>
        <w:t xml:space="preserve">У разі сплати за харчування  коштами спеціального фонду (батьківська плата за харчування дітей у ЗДО становить 50% від вартості </w:t>
      </w:r>
      <w:r>
        <w:rPr>
          <w:rFonts w:ascii="Times New Roman" w:hAnsi="Times New Roman" w:eastAsia="Batang"/>
          <w:sz w:val="20"/>
          <w:szCs w:val="20"/>
          <w:lang w:eastAsia="ru-RU"/>
        </w:rPr>
        <w:t xml:space="preserve">ді</w:t>
      </w:r>
      <w:r>
        <w:rPr>
          <w:rFonts w:ascii="Times New Roman" w:hAnsi="Times New Roman" w:eastAsia="Batang"/>
          <w:sz w:val="20"/>
          <w:szCs w:val="20"/>
          <w:lang w:eastAsia="ru-RU"/>
        </w:rPr>
        <w:t xml:space="preserve">тодня</w:t>
      </w:r>
      <w:r>
        <w:rPr>
          <w:rFonts w:ascii="Times New Roman" w:hAnsi="Times New Roman" w:eastAsia="Batang"/>
          <w:sz w:val="20"/>
          <w:szCs w:val="20"/>
          <w:lang w:eastAsia="ru-RU"/>
        </w:rPr>
        <w:t xml:space="preserve">) - вартість </w:t>
      </w:r>
      <w:r>
        <w:rPr>
          <w:rFonts w:ascii="Times New Roman" w:hAnsi="Times New Roman" w:eastAsia="Batang"/>
          <w:sz w:val="20"/>
          <w:szCs w:val="20"/>
          <w:lang w:eastAsia="ru-RU"/>
        </w:rPr>
        <w:t xml:space="preserve">дітодня</w:t>
      </w:r>
      <w:r>
        <w:rPr>
          <w:rFonts w:ascii="Times New Roman" w:hAnsi="Times New Roman" w:eastAsia="Batang"/>
          <w:sz w:val="20"/>
          <w:szCs w:val="20"/>
          <w:lang w:eastAsia="ru-RU"/>
        </w:rPr>
        <w:t xml:space="preserve"> в 2025 році становить –55 грн в день на одну дитину, 2026 році – 60 грн, 2027 році – 65</w:t>
      </w:r>
      <w:r>
        <w:rPr>
          <w:rFonts w:ascii="Times New Roman" w:hAnsi="Times New Roman" w:eastAsia="Batang"/>
          <w:sz w:val="20"/>
          <w:szCs w:val="20"/>
          <w:lang w:eastAsia="ru-RU"/>
        </w:rPr>
        <w:t xml:space="preserve"> грн.</w:t>
      </w:r>
      <w:r>
        <w:rPr>
          <w:rFonts w:ascii="Times New Roman" w:hAnsi="Times New Roman" w:eastAsia="Batang"/>
          <w:sz w:val="20"/>
          <w:szCs w:val="20"/>
          <w:lang w:eastAsia="ru-RU"/>
        </w:rPr>
      </w:r>
      <w:r>
        <w:rPr>
          <w:rFonts w:ascii="Times New Roman" w:hAnsi="Times New Roman" w:eastAsia="Batang"/>
          <w:sz w:val="20"/>
          <w:szCs w:val="20"/>
          <w:lang w:eastAsia="ru-RU"/>
        </w:rPr>
      </w:r>
    </w:p>
    <w:p>
      <w:pPr>
        <w:pBdr/>
        <w:spacing w:after="0" w:line="240" w:lineRule="auto"/>
        <w:ind w:right="-14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keepNext w:val="true"/>
        <w:widowControl w:val="false"/>
        <w:pBdr/>
        <w:tabs>
          <w:tab w:val="right" w:leader="none" w:pos="7767"/>
        </w:tabs>
        <w:spacing w:after="0" w:line="240" w:lineRule="auto"/>
        <w:ind w:firstLine="283"/>
        <w:jc w:val="center"/>
        <w:rPr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ІІ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Визначення проблеми, на розв'язання якої спрямована Програма</w:t>
      </w:r>
      <w:r>
        <w:rPr>
          <w:b/>
          <w:sz w:val="28"/>
          <w:szCs w:val="28"/>
          <w:lang w:eastAsia="uk-UA"/>
        </w:rPr>
      </w:r>
      <w:r>
        <w:rPr>
          <w:b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Найважливішими компонентами розвитку особистості дитини є її фізичне, психічне та духовне здоров’я, стан якого визначаєтьс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я впливом на нього усього комплексу соціально-економічних, екологічних і духовних факторів. У контексті формування гармонійно розвиненої особистості постає питання створення умов для збереження здоров’я дітей, їх всебічного розвитку, навчання та виховання.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Одним із основних факторів впливу на здоров’я дітей є повноцінне і раціональне харчування.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spacing w:after="0" w:line="240" w:lineRule="auto"/>
        <w:ind w:right="-141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Постановою Кабінету Міністрів України від 24.03.2021  №305 «Про затвердження норм та Порядку організації харчування у закладах освіти та дитячих закладах оздоровлення та відпочинку» (зі змінами) суттєво змінено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принципи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планування та механізм організації харчування здобувачів освіти/дітей у закладах дошкільної освіти,</w:t>
      </w:r>
      <w:r>
        <w:rPr>
          <w:shd w:val="clear" w:color="auto" w:fill="ffffff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 передбачено забезпечення більш збалансованого харчування, що вплинуло на формування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примірного чотиритижневого сезонного меню - документ, щ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 містить набір страв, вихід (масу) їх порцій для різних вікових груп, враховує особливі дієтичні потреби здобувачів освіти/дітей (у разі наявності), сезонність (осінь, зима, весна, літо) та потребує збільшення грошових норм харчування на 1 дитину в день.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41"/>
        <w:pBdr/>
        <w:shd w:val="clear" w:color="auto" w:fill="ffffff"/>
        <w:spacing w:after="0" w:afterAutospacing="0" w:before="0" w:beforeAutospacing="0"/>
        <w:ind w:firstLine="450"/>
        <w:jc w:val="both"/>
        <w:rPr/>
      </w:pPr>
      <w:r>
        <w:rPr>
          <w:b/>
          <w:sz w:val="28"/>
          <w:szCs w:val="28"/>
        </w:rPr>
        <w:t xml:space="preserve">Безоплатним гарячим харчуванням</w:t>
      </w:r>
      <w:r>
        <w:rPr>
          <w:b/>
          <w:sz w:val="28"/>
          <w:szCs w:val="28"/>
        </w:rPr>
        <w:t xml:space="preserve">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за рахунок коштів місцевого бюджету</w:t>
      </w:r>
      <w:r>
        <w:rPr>
          <w:sz w:val="28"/>
          <w:szCs w:val="28"/>
          <w:shd w:val="clear" w:color="auto" w:fill="ffffff"/>
        </w:rPr>
        <w:t xml:space="preserve">,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відповідно до встановленого в закладі освіти режиму (кратності) харчування</w:t>
      </w:r>
      <w:r>
        <w:rPr>
          <w:sz w:val="28"/>
          <w:szCs w:val="28"/>
          <w:shd w:val="clear" w:color="auto" w:fill="ffffff"/>
        </w:rPr>
        <w:t xml:space="preserve">,</w:t>
      </w:r>
      <w:r>
        <w:rPr>
          <w:sz w:val="28"/>
          <w:szCs w:val="28"/>
          <w:shd w:val="clear" w:color="auto" w:fill="ffffff"/>
        </w:rPr>
        <w:t xml:space="preserve"> забезпечуються вихованці закладу </w:t>
      </w:r>
      <w:r>
        <w:rPr>
          <w:sz w:val="28"/>
          <w:szCs w:val="28"/>
          <w:shd w:val="clear" w:color="auto" w:fill="ffffff"/>
        </w:rPr>
        <w:t xml:space="preserve">дошкільної </w:t>
      </w:r>
      <w:r>
        <w:rPr>
          <w:sz w:val="28"/>
          <w:szCs w:val="28"/>
          <w:shd w:val="clear" w:color="auto" w:fill="ffffff"/>
        </w:rPr>
        <w:t xml:space="preserve">освіти</w:t>
      </w:r>
      <w:r>
        <w:rPr>
          <w:sz w:val="28"/>
          <w:szCs w:val="28"/>
        </w:rPr>
        <w:t xml:space="preserve"> з числа:</w:t>
      </w:r>
      <w:r>
        <w:t xml:space="preserve"> </w:t>
      </w:r>
      <w:r/>
    </w:p>
    <w:p>
      <w:pPr>
        <w:pStyle w:val="941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дітей-сиріт;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1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дітей, позбавлених батьківського піклування;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1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дітей з особливими освітніми потребами, які навчаються у спеціальних та інклюзивних класах (групах);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1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дітей із сімей, які отримують допомогу відповідно до</w:t>
      </w:r>
      <w:r>
        <w:rPr>
          <w:sz w:val="28"/>
          <w:szCs w:val="28"/>
          <w:u w:val="none"/>
        </w:rPr>
        <w:t xml:space="preserve"> </w:t>
      </w:r>
      <w:hyperlink r:id="rId14" w:tooltip="https://zakon.rada.gov.ua/laws/show/1768-14" w:history="1">
        <w:r>
          <w:rPr>
            <w:rStyle w:val="937"/>
            <w:rFonts w:eastAsia="Arial"/>
            <w:color w:val="auto"/>
            <w:sz w:val="28"/>
            <w:szCs w:val="28"/>
            <w:u w:val="none"/>
          </w:rPr>
          <w:t xml:space="preserve">Закону України</w:t>
        </w:r>
      </w:hyperlink>
      <w:r>
        <w:rPr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sz w:val="28"/>
          <w:szCs w:val="28"/>
        </w:rPr>
        <w:t xml:space="preserve">Про державну соціальну допомогу малозабезпеченим сім’ям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1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учнів закладів освіти, розташованих на територіях радіоактивного забруднення, а</w:t>
      </w:r>
      <w:r>
        <w:rPr>
          <w:sz w:val="28"/>
          <w:szCs w:val="28"/>
        </w:rPr>
        <w:t xml:space="preserve"> також дітей, евакуйованих із зони відчуження, дітей, які є особами з інвалідністю внаслідок Чорнобильської катастрофи, і тих, що проживали у зоні безумовного (обов’язкового) відселення з моменту аварії до прийняття постанови про відселення, відповідно до </w:t>
      </w:r>
      <w:hyperlink r:id="rId15" w:tooltip="https://zakon.rada.gov.ua/laws/show/796-12" w:history="1">
        <w:r>
          <w:rPr>
            <w:rStyle w:val="937"/>
            <w:rFonts w:eastAsia="Arial"/>
            <w:color w:val="auto"/>
            <w:sz w:val="28"/>
            <w:szCs w:val="28"/>
            <w:u w:val="none"/>
          </w:rPr>
          <w:t xml:space="preserve">Закону України</w:t>
        </w:r>
      </w:hyperlink>
      <w:r>
        <w:rPr>
          <w:sz w:val="28"/>
          <w:szCs w:val="28"/>
          <w:u w:val="none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sz w:val="28"/>
          <w:szCs w:val="28"/>
        </w:rPr>
        <w:t xml:space="preserve">Про статус і соціальний захист громадян, які постраждали внаслідок Чорнобильської катастрофи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1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дітей з числа внутрішньо переміщених осіб, діти, які мають статус дитини, яка постраждала внаслідок воєнних дій і збройних конфліктів;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1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дітей з числа осіб, визначених </w:t>
      </w:r>
      <w:r>
        <w:rPr>
          <w:sz w:val="28"/>
          <w:szCs w:val="28"/>
          <w:u w:val="none"/>
        </w:rPr>
        <w:t xml:space="preserve">у</w:t>
      </w:r>
      <w:hyperlink r:id="rId16" w:tooltip="https://zakon.rada.gov.ua/laws/show/3551-12#n147" w:anchor="n147" w:history="1">
        <w:r>
          <w:rPr>
            <w:rStyle w:val="937"/>
            <w:rFonts w:eastAsia="Arial"/>
            <w:color w:val="auto"/>
            <w:sz w:val="28"/>
            <w:szCs w:val="28"/>
            <w:u w:val="none"/>
          </w:rPr>
          <w:t xml:space="preserve"> статті 10 </w:t>
        </w:r>
      </w:hyperlink>
      <w:r>
        <w:rPr>
          <w:sz w:val="28"/>
          <w:szCs w:val="28"/>
        </w:rPr>
        <w:t xml:space="preserve">Закону України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sz w:val="28"/>
          <w:szCs w:val="28"/>
        </w:rPr>
        <w:t xml:space="preserve">Про статус ветеранів війни, гарантії їх соціального захисту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0"/>
        <w:pBdr/>
        <w:tabs>
          <w:tab w:val="left" w:leader="none" w:pos="425"/>
        </w:tabs>
        <w:spacing w:after="0" w:line="240" w:lineRule="auto"/>
        <w:ind w:right="-141" w:left="0"/>
        <w:jc w:val="both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ab/>
        <w:t xml:space="preserve">дітей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з числа осіб, які мають статус «учасник бойових дій»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Batang"/>
          <w:sz w:val="28"/>
          <w:szCs w:val="28"/>
          <w:lang w:eastAsia="ru-RU"/>
        </w:rPr>
      </w:r>
      <w:r>
        <w:rPr>
          <w:rFonts w:ascii="Times New Roman" w:hAnsi="Times New Roman" w:eastAsia="Batang"/>
          <w:sz w:val="28"/>
          <w:szCs w:val="28"/>
          <w:lang w:eastAsia="ru-RU"/>
        </w:rPr>
      </w:r>
    </w:p>
    <w:p>
      <w:pPr>
        <w:pStyle w:val="940"/>
        <w:pBdr/>
        <w:tabs>
          <w:tab w:val="left" w:leader="none" w:pos="425"/>
        </w:tabs>
        <w:spacing w:after="0" w:line="240" w:lineRule="auto"/>
        <w:ind w:right="-141" w:left="0"/>
        <w:jc w:val="both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ab/>
        <w:t xml:space="preserve">дітей, один з батьків яких загинув (пропав безвісти), помер під час захисту незалежності та суверенітету України</w:t>
      </w:r>
      <w:r>
        <w:rPr>
          <w:rFonts w:ascii="Times New Roman" w:hAnsi="Times New Roman" w:eastAsia="Batang"/>
          <w:sz w:val="28"/>
          <w:szCs w:val="28"/>
          <w:lang w:eastAsia="ru-RU"/>
        </w:rPr>
      </w:r>
      <w:r>
        <w:rPr>
          <w:rFonts w:ascii="Times New Roman" w:hAnsi="Times New Roman" w:eastAsia="Batang"/>
          <w:sz w:val="28"/>
          <w:szCs w:val="28"/>
          <w:lang w:eastAsia="ru-RU"/>
        </w:rPr>
      </w:r>
    </w:p>
    <w:p>
      <w:pPr>
        <w:pStyle w:val="940"/>
        <w:pBdr/>
        <w:tabs>
          <w:tab w:val="left" w:leader="none" w:pos="425"/>
        </w:tabs>
        <w:spacing w:after="0" w:line="240" w:lineRule="auto"/>
        <w:ind w:right="-141" w:left="0"/>
        <w:jc w:val="both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ab/>
        <w:t xml:space="preserve">дітей з інвалідністю;</w:t>
      </w:r>
      <w:r>
        <w:rPr>
          <w:rFonts w:ascii="Times New Roman" w:hAnsi="Times New Roman" w:eastAsia="Batang"/>
          <w:sz w:val="28"/>
          <w:szCs w:val="28"/>
          <w:lang w:eastAsia="ru-RU"/>
        </w:rPr>
      </w:r>
      <w:r>
        <w:rPr>
          <w:rFonts w:ascii="Times New Roman" w:hAnsi="Times New Roman" w:eastAsia="Batang"/>
          <w:sz w:val="28"/>
          <w:szCs w:val="28"/>
          <w:lang w:eastAsia="ru-RU"/>
        </w:rPr>
      </w:r>
    </w:p>
    <w:p>
      <w:pPr>
        <w:pStyle w:val="940"/>
        <w:pBdr/>
        <w:tabs>
          <w:tab w:val="left" w:leader="none" w:pos="425"/>
        </w:tabs>
        <w:spacing w:after="0" w:line="240" w:lineRule="auto"/>
        <w:ind w:right="-141" w:left="0"/>
        <w:jc w:val="both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ab/>
        <w:t xml:space="preserve">дітей військо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во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службовців Збройних Сил України, інших військових формувань; співробітників Національної поліції, залучених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до виконання завдань в зоні бойових дій (на період дії воєнного стану в Україні);</w:t>
      </w:r>
      <w:r>
        <w:rPr>
          <w:rFonts w:ascii="Times New Roman" w:hAnsi="Times New Roman" w:eastAsia="Batang"/>
          <w:sz w:val="28"/>
          <w:szCs w:val="28"/>
          <w:lang w:eastAsia="ru-RU"/>
        </w:rPr>
      </w:r>
      <w:r>
        <w:rPr>
          <w:rFonts w:ascii="Times New Roman" w:hAnsi="Times New Roman" w:eastAsia="Batang"/>
          <w:sz w:val="28"/>
          <w:szCs w:val="28"/>
          <w:lang w:eastAsia="ru-RU"/>
        </w:rPr>
      </w:r>
    </w:p>
    <w:p>
      <w:pPr>
        <w:pStyle w:val="940"/>
        <w:pBdr/>
        <w:tabs>
          <w:tab w:val="left" w:leader="none" w:pos="425"/>
        </w:tabs>
        <w:spacing w:after="0" w:line="240" w:lineRule="auto"/>
        <w:ind w:right="-141" w:left="0"/>
        <w:jc w:val="both"/>
        <w:rPr>
          <w:rFonts w:ascii="Times New Roman" w:hAnsi="Times New Roman"/>
          <w:lang w:eastAsia="uk-UA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ab/>
        <w:t xml:space="preserve">у виняткових випадках (в разі, якщо сім’я опинилась в складних життєвих обставинах або батьки неспромо</w:t>
      </w:r>
      <w:r>
        <w:rPr>
          <w:rFonts w:ascii="Times New Roman" w:hAnsi="Times New Roman"/>
          <w:sz w:val="28"/>
          <w:szCs w:val="28"/>
          <w:lang w:eastAsia="uk-UA"/>
        </w:rPr>
        <w:t xml:space="preserve">жні з поважних причин сплачувати за харчування дітей та інших випадках) за погодженням виконавчого комітету Менської міської </w:t>
      </w:r>
      <w:r>
        <w:rPr>
          <w:rFonts w:ascii="Times New Roman" w:hAnsi="Times New Roman"/>
          <w:sz w:val="28"/>
          <w:szCs w:val="28"/>
          <w:lang w:eastAsia="uk-UA"/>
        </w:rPr>
        <w:t xml:space="preserve">ради (при наявності підтверджуючих документів, заяви одного з батьків та за пропозицією відділу освіти Менської міської ради).</w:t>
      </w:r>
      <w:r>
        <w:rPr>
          <w:rFonts w:ascii="Times New Roman" w:hAnsi="Times New Roman"/>
          <w:lang w:eastAsia="uk-UA"/>
        </w:rPr>
      </w:r>
      <w:r>
        <w:rPr>
          <w:rFonts w:ascii="Times New Roman" w:hAnsi="Times New Roman"/>
          <w:lang w:eastAsia="uk-UA"/>
        </w:rPr>
      </w:r>
    </w:p>
    <w:p>
      <w:pPr>
        <w:pBdr/>
        <w:tabs>
          <w:tab w:val="left" w:leader="none" w:pos="426"/>
          <w:tab w:val="left" w:leader="none" w:pos="851"/>
        </w:tabs>
        <w:spacing w:after="0" w:line="240" w:lineRule="auto"/>
        <w:ind w:right="-141"/>
        <w:jc w:val="both"/>
        <w:rPr>
          <w:rStyle w:val="943"/>
          <w:sz w:val="28"/>
          <w:szCs w:val="28"/>
        </w:rPr>
      </w:pPr>
      <w:r>
        <w:rPr>
          <w:rStyle w:val="943"/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 w:eastAsia="Times New Roman"/>
          <w:b/>
          <w:sz w:val="28"/>
          <w:szCs w:val="28"/>
          <w:lang w:eastAsia="uk-UA"/>
        </w:rPr>
        <w:t xml:space="preserve">Розмір плати зменш</w:t>
      </w:r>
      <w:r>
        <w:rPr>
          <w:rFonts w:ascii="Times New Roman" w:hAnsi="Times New Roman" w:eastAsia="Times New Roman"/>
          <w:b/>
          <w:sz w:val="28"/>
          <w:szCs w:val="28"/>
          <w:lang w:eastAsia="uk-UA"/>
        </w:rPr>
        <w:t xml:space="preserve">ено</w:t>
      </w:r>
      <w:r>
        <w:rPr>
          <w:rFonts w:ascii="Times New Roman" w:hAnsi="Times New Roman" w:eastAsia="Times New Roman"/>
          <w:b/>
          <w:sz w:val="28"/>
          <w:szCs w:val="28"/>
          <w:lang w:eastAsia="uk-UA"/>
        </w:rPr>
        <w:t xml:space="preserve"> на 50 відсотків для батьків, у сім’ях яких троє і більше дітей</w:t>
      </w:r>
      <w:r>
        <w:rPr>
          <w:rFonts w:ascii="Times New Roman" w:hAnsi="Times New Roman" w:eastAsia="Times New Roman"/>
          <w:b/>
          <w:sz w:val="28"/>
          <w:szCs w:val="28"/>
          <w:lang w:eastAsia="uk-UA"/>
        </w:rPr>
        <w:t xml:space="preserve"> до 18 років</w:t>
      </w:r>
      <w:r>
        <w:rPr>
          <w:rFonts w:ascii="Times New Roman" w:hAnsi="Times New Roman" w:eastAsia="Times New Roman"/>
          <w:b/>
          <w:sz w:val="28"/>
          <w:szCs w:val="28"/>
          <w:lang w:eastAsia="uk-UA"/>
        </w:rPr>
        <w:t xml:space="preserve">.</w:t>
      </w:r>
      <w:r>
        <w:rPr>
          <w:rStyle w:val="943"/>
          <w:rFonts w:ascii="Times New Roman" w:hAnsi="Times New Roman"/>
          <w:sz w:val="28"/>
          <w:szCs w:val="28"/>
        </w:rPr>
        <w:t xml:space="preserve"> </w:t>
      </w:r>
      <w:r>
        <w:rPr>
          <w:rStyle w:val="943"/>
          <w:sz w:val="28"/>
          <w:szCs w:val="28"/>
        </w:rPr>
      </w:r>
      <w:r>
        <w:rPr>
          <w:rStyle w:val="943"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Станом на 01.11.2024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 загальна кількість дітей, які охоплені харчуванням в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13 закладах дошкільної освіти та одному дошкільному структурному підрозділі у складі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Волосківської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гімназії - 464 дитини.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line="240" w:lineRule="auto"/>
        <w:ind w:firstLine="720"/>
        <w:jc w:val="both"/>
        <w:rPr>
          <w:rStyle w:val="942"/>
        </w:rPr>
      </w:pPr>
      <w:r>
        <w:rPr>
          <w:rStyle w:val="942"/>
          <w:rFonts w:ascii="Times New Roman" w:hAnsi="Times New Roman"/>
          <w:sz w:val="28"/>
          <w:szCs w:val="28"/>
        </w:rPr>
        <w:t xml:space="preserve">Безоплатним гарячим харчуванням </w:t>
      </w:r>
      <w:r>
        <w:rPr>
          <w:rStyle w:val="942"/>
          <w:rFonts w:ascii="Times New Roman" w:hAnsi="Times New Roman"/>
          <w:sz w:val="28"/>
          <w:szCs w:val="28"/>
        </w:rPr>
        <w:t xml:space="preserve">на звітний період </w:t>
      </w:r>
      <w:r>
        <w:rPr>
          <w:rStyle w:val="942"/>
          <w:rFonts w:ascii="Times New Roman" w:hAnsi="Times New Roman"/>
          <w:sz w:val="28"/>
          <w:szCs w:val="28"/>
        </w:rPr>
        <w:t xml:space="preserve">у заклад</w:t>
      </w:r>
      <w:r>
        <w:rPr>
          <w:rStyle w:val="942"/>
          <w:rFonts w:ascii="Times New Roman" w:hAnsi="Times New Roman"/>
          <w:sz w:val="28"/>
          <w:szCs w:val="28"/>
        </w:rPr>
        <w:t xml:space="preserve">ах дошкільної освіти охоплено 352 дитини (</w:t>
      </w:r>
      <w:r>
        <w:rPr>
          <w:rStyle w:val="942"/>
          <w:rFonts w:ascii="Times New Roman" w:hAnsi="Times New Roman"/>
          <w:sz w:val="28"/>
          <w:szCs w:val="28"/>
        </w:rPr>
        <w:t xml:space="preserve">7</w:t>
      </w:r>
      <w:r>
        <w:rPr>
          <w:rStyle w:val="942"/>
          <w:rFonts w:ascii="Times New Roman" w:hAnsi="Times New Roman"/>
          <w:sz w:val="28"/>
          <w:szCs w:val="28"/>
        </w:rPr>
        <w:t xml:space="preserve">6</w:t>
      </w:r>
      <w:r>
        <w:rPr>
          <w:rStyle w:val="942"/>
          <w:rFonts w:ascii="Times New Roman" w:hAnsi="Times New Roman"/>
          <w:sz w:val="28"/>
          <w:szCs w:val="28"/>
        </w:rPr>
        <w:t xml:space="preserve">%) від загальної кількості вихованців; розмір плати зменшено на 50 відсотків для батьків, у сім’ях яких троє і більше дітей</w:t>
      </w:r>
      <w:r>
        <w:rPr>
          <w:rStyle w:val="942"/>
          <w:rFonts w:ascii="Times New Roman" w:hAnsi="Times New Roman"/>
          <w:sz w:val="28"/>
          <w:szCs w:val="28"/>
        </w:rPr>
        <w:t xml:space="preserve"> до 18 років – 25 особам; число батьків, які вносять батьківську плату становить – 112 осіб.</w:t>
      </w:r>
      <w:r>
        <w:rPr>
          <w:rStyle w:val="942"/>
        </w:rPr>
      </w:r>
      <w:r>
        <w:rPr>
          <w:rStyle w:val="942"/>
        </w:rPr>
      </w:r>
    </w:p>
    <w:p>
      <w:pPr>
        <w:pBdr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В зв’язку з переведенням з 01 січня 2022 року закладів дошкільної освіти на умови самостійного ведення господарської діяльності та бухгалтерського обліку Відділ освіти через Комунальну установу «Центр з обслуговування освітніх установ та з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акладів освіти» забезпечує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координацію процесу організації харчування та контроль безоплатного та пільгового гарячого харчування дітей дошкільного віку, які відвідують заклади дошкільної освіти Менської ТГ категорії яких визначені даною Програмою.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Контроль за харчовими нормами, якістю продукції, яка надходить до харчоблоків, організація харчування в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заклад дошкільної освіти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здійснюється керівни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ком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відповідного закладу в рамках системи </w:t>
      </w:r>
      <w:r>
        <w:rPr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(НАССР).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 Комунальна установа «Центр з обслуговування освітніх установ та закладів освіти» спільно з адміністрацією закладу освіти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забезпечу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є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ведення бухгалтерського обліку продуктів харчування та продовольчої сировини, аналітичний облік батьківської плати за харчування в закладах освіти.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Заклади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дошкільної освіти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забезпечують замовлення необхідної кількості продуктів харчува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ння та продовольчої сировини, їх приймання, складання меню-розкладу, виготовлення страв, подання дітям готових страв, ведення обліку дітей, які отримують харчування, контроль за харчуванням, інформування  батьків про організацію харчування дітей в закладі.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keepNext w:val="true"/>
        <w:widowControl w:val="false"/>
        <w:pBdr/>
        <w:tabs>
          <w:tab w:val="right" w:leader="none" w:pos="7767"/>
        </w:tabs>
        <w:spacing w:after="0" w:line="240" w:lineRule="auto"/>
        <w:ind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ІІІ. Мета  Програми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r>
    </w:p>
    <w:p>
      <w:pPr>
        <w:pBdr/>
        <w:spacing w:after="0" w:line="240" w:lineRule="auto"/>
        <w:ind w:right="-141" w:firstLine="708"/>
        <w:jc w:val="both"/>
        <w:rPr>
          <w:rFonts w:ascii="Times New Roman" w:hAnsi="Times New Roman" w:eastAsia="Batang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Основна мета Програми – створення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безпечного, здорового освітнього середовища та безпечних умов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організації харчування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дітей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, забезпечення вихованців закладів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дошкільної освіти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повноцінним гарячим харчуванням та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забезпечення гарячим безоплатним та пільговим харчуванням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відповідні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категорії здобувачів освіти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визначені даною Програмою.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Batang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Batang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Batang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Batang"/>
          <w:sz w:val="28"/>
          <w:szCs w:val="28"/>
          <w:lang w:eastAsia="ru-RU"/>
        </w:rPr>
      </w:r>
      <w:r>
        <w:rPr>
          <w:rFonts w:ascii="Times New Roman" w:hAnsi="Times New Roman" w:eastAsia="Batang"/>
          <w:sz w:val="28"/>
          <w:szCs w:val="28"/>
          <w:lang w:eastAsia="ru-RU"/>
        </w:rPr>
      </w:r>
      <w:r>
        <w:rPr>
          <w:rFonts w:ascii="Times New Roman" w:hAnsi="Times New Roman" w:eastAsia="Batang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Batang"/>
          <w:sz w:val="28"/>
          <w:szCs w:val="28"/>
          <w:lang w:eastAsia="ru-RU"/>
        </w:rPr>
      </w:r>
      <w:r>
        <w:rPr>
          <w:rFonts w:ascii="Times New Roman" w:hAnsi="Times New Roman" w:eastAsia="Batang"/>
          <w:sz w:val="28"/>
          <w:szCs w:val="28"/>
          <w:lang w:eastAsia="ru-RU"/>
        </w:rPr>
      </w:r>
      <w:r>
        <w:rPr>
          <w:rFonts w:ascii="Times New Roman" w:hAnsi="Times New Roman" w:eastAsia="Batang"/>
          <w:sz w:val="28"/>
          <w:szCs w:val="28"/>
          <w:lang w:eastAsia="ru-RU"/>
        </w:rPr>
      </w:r>
      <w:r>
        <w:rPr>
          <w:rFonts w:ascii="Times New Roman" w:hAnsi="Times New Roman" w:eastAsia="Batang"/>
          <w:sz w:val="28"/>
          <w:szCs w:val="28"/>
          <w:highlight w:val="none"/>
          <w:lang w:eastAsia="ru-RU"/>
        </w:rPr>
      </w:r>
    </w:p>
    <w:p>
      <w:pPr>
        <w:pBdr/>
        <w:spacing w:after="0" w:line="240" w:lineRule="auto"/>
        <w:ind w:firstLine="720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І</w:t>
      </w:r>
      <w:r>
        <w:rPr>
          <w:rFonts w:ascii="Times New Roman" w:hAnsi="Times New Roman"/>
          <w:b/>
          <w:color w:val="auto"/>
          <w:sz w:val="28"/>
          <w:szCs w:val="28"/>
          <w:lang w:val="en-US"/>
        </w:rPr>
        <w:t xml:space="preserve">V</w:t>
      </w:r>
      <w:r>
        <w:rPr>
          <w:rFonts w:ascii="Times New Roman" w:hAnsi="Times New Roman"/>
          <w:b/>
          <w:color w:val="auto"/>
          <w:sz w:val="28"/>
          <w:szCs w:val="28"/>
          <w:lang w:eastAsia="uk-UA"/>
        </w:rPr>
        <w:t xml:space="preserve">. Шляхи і  способи  розв'язання   проблеми,   </w:t>
      </w:r>
      <w:r>
        <w:rPr>
          <w:rFonts w:ascii="Times New Roman" w:hAnsi="Times New Roman"/>
          <w:b/>
          <w:color w:val="auto"/>
          <w:sz w:val="28"/>
          <w:szCs w:val="28"/>
        </w:rPr>
      </w:r>
      <w:r>
        <w:rPr>
          <w:rFonts w:ascii="Times New Roman" w:hAnsi="Times New Roman"/>
          <w:b/>
          <w:color w:val="auto"/>
          <w:sz w:val="28"/>
          <w:szCs w:val="28"/>
        </w:rPr>
      </w:r>
    </w:p>
    <w:p>
      <w:pPr>
        <w:pBdr/>
        <w:spacing w:after="0" w:line="240" w:lineRule="auto"/>
        <w:ind w:firstLine="720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  <w:lang w:eastAsia="uk-UA"/>
        </w:rPr>
        <w:t xml:space="preserve">строк   виконання Програми</w:t>
      </w:r>
      <w:r>
        <w:rPr>
          <w:rFonts w:ascii="Times New Roman" w:hAnsi="Times New Roman"/>
          <w:b/>
          <w:color w:val="auto"/>
          <w:sz w:val="28"/>
          <w:szCs w:val="28"/>
        </w:rPr>
      </w:r>
      <w:r>
        <w:rPr>
          <w:rFonts w:ascii="Times New Roman" w:hAnsi="Times New Roman"/>
          <w:b/>
          <w:color w:val="auto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Програма розрахована на 2025-2027 роки.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Реалізація даної Програми  має здійснюватися шляхом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удосконалення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системи організації харчування у закладах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дошкільної освіти Менської ТГ;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збереження здоров’я дітей та забезпечення повноцінного і раціонального харчування вихованців закладів дошкільної освіти Менської ТГ;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удосконалення управління системою ор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ганізації харчування;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створення умов для повноцінного харчування вихованців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закладів дошкільної освіти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;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забезпечення гарячим безоплатним та пільговим харчуванням дітей дошкільного віку, які відвідують заклади дошкільної освіти Менської ТГ, категорії яких визначені даною Програмою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межах програми буде здійснено забезпечення організації харчування у закладах </w:t>
      </w:r>
      <w:r>
        <w:rPr>
          <w:rFonts w:ascii="Times New Roman" w:hAnsi="Times New Roman"/>
          <w:sz w:val="28"/>
          <w:szCs w:val="28"/>
          <w:lang w:eastAsia="ru-RU"/>
        </w:rPr>
        <w:t xml:space="preserve">дошкільної освіти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Менської міської територіальної громади</w:t>
      </w:r>
      <w:r>
        <w:rPr>
          <w:rFonts w:ascii="Times New Roman" w:hAnsi="Times New Roman"/>
          <w:sz w:val="28"/>
          <w:szCs w:val="28"/>
          <w:lang w:eastAsia="ru-RU"/>
        </w:rPr>
        <w:t xml:space="preserve">, а саме для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безоплатного харчування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(в обсязі 100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% від вартості харчування на день з 01 січня по 31 грудня щорічно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наступні категорії здобувачів освіти</w:t>
      </w:r>
      <w:r>
        <w:rPr>
          <w:b/>
          <w:bCs/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1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дітей-сиріт;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1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дітей, позбавлених батьківського піклування;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1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дітей з особливими освітніми потребами, які навчаються у спеціальних та інклюзивних класах (групах);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1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дітей із сімей, які отримують допомогу відповідно до </w:t>
      </w:r>
      <w:hyperlink r:id="rId17" w:tooltip="https://zakon.rada.gov.ua/laws/show/1768-14" w:history="1">
        <w:r>
          <w:rPr>
            <w:rStyle w:val="937"/>
            <w:rFonts w:eastAsia="Arial"/>
            <w:color w:val="auto"/>
            <w:sz w:val="28"/>
            <w:szCs w:val="28"/>
            <w:u w:val="none"/>
          </w:rPr>
          <w:t xml:space="preserve">Закону України</w:t>
        </w:r>
      </w:hyperlink>
      <w:r>
        <w:rPr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sz w:val="28"/>
          <w:szCs w:val="28"/>
        </w:rPr>
        <w:t xml:space="preserve">Про державну соціальну допомогу малозабезпеченим сім’ям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1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учнів закладів освіти, розташованих на територіях радіоактивного забруднення, а</w:t>
      </w:r>
      <w:r>
        <w:rPr>
          <w:sz w:val="28"/>
          <w:szCs w:val="28"/>
        </w:rPr>
        <w:t xml:space="preserve"> також дітей, евакуйованих із зони відчуження, дітей, які є особами з інвалідністю внаслідок Чорнобильської катастрофи, і тих, що проживали у зоні безумовного (обов’язкового) відселення з моменту аварії до прийняття постанови про відселення, відповідно до</w:t>
      </w:r>
      <w:r>
        <w:rPr>
          <w:sz w:val="28"/>
          <w:szCs w:val="28"/>
          <w:u w:val="none"/>
        </w:rPr>
        <w:t xml:space="preserve"> </w:t>
      </w:r>
      <w:hyperlink r:id="rId18" w:tooltip="https://zakon.rada.gov.ua/laws/show/796-12" w:history="1">
        <w:r>
          <w:rPr>
            <w:rStyle w:val="937"/>
            <w:rFonts w:eastAsia="Arial"/>
            <w:color w:val="auto"/>
            <w:sz w:val="28"/>
            <w:szCs w:val="28"/>
            <w:u w:val="none"/>
          </w:rPr>
          <w:t xml:space="preserve">Закону України</w:t>
        </w:r>
      </w:hyperlink>
      <w:r>
        <w:rPr>
          <w:sz w:val="28"/>
          <w:szCs w:val="28"/>
          <w:u w:val="none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sz w:val="28"/>
          <w:szCs w:val="28"/>
        </w:rPr>
        <w:t xml:space="preserve">Про статус і соціальний захист громадян, які постраждали внаслідок Чорнобильської катастрофи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1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дітей з числа внутрішньо переміщених осіб, діти, які мають статус дитини, яка постраждала внаслідок воєнних дій і збройних конфліктів;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1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дітей з числа осіб, </w:t>
      </w:r>
      <w:r>
        <w:rPr>
          <w:sz w:val="28"/>
          <w:szCs w:val="28"/>
        </w:rPr>
        <w:t xml:space="preserve">загиблих/</w:t>
      </w:r>
      <w:r>
        <w:rPr>
          <w:sz w:val="28"/>
          <w:szCs w:val="28"/>
        </w:rPr>
        <w:t xml:space="preserve">померлих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пропавших</w:t>
      </w:r>
      <w:r>
        <w:rPr>
          <w:sz w:val="28"/>
          <w:szCs w:val="28"/>
        </w:rPr>
        <w:t xml:space="preserve"> безвісти</w:t>
      </w:r>
      <w:r>
        <w:rPr>
          <w:sz w:val="28"/>
          <w:szCs w:val="28"/>
        </w:rPr>
        <w:t xml:space="preserve">) ветеранів війни (стаття 10) та загиблих (померлих) Захисників і Захисниць </w:t>
      </w:r>
      <w:r>
        <w:rPr>
          <w:sz w:val="28"/>
          <w:szCs w:val="28"/>
        </w:rPr>
        <w:t xml:space="preserve">Україн</w:t>
      </w:r>
      <w:bookmarkStart w:id="0" w:name="_GoBack"/>
      <w:r/>
      <w:bookmarkEnd w:id="0"/>
      <w:r>
        <w:rPr>
          <w:sz w:val="28"/>
          <w:szCs w:val="28"/>
        </w:rPr>
        <w:t xml:space="preserve">и (стаття 10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відповідно до Зако</w:t>
      </w:r>
      <w:r>
        <w:rPr>
          <w:sz w:val="28"/>
          <w:szCs w:val="28"/>
        </w:rPr>
        <w:t xml:space="preserve">ну України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sz w:val="28"/>
          <w:szCs w:val="28"/>
        </w:rPr>
        <w:t xml:space="preserve">Про статус ветеранів війни, гарантії їх соціального захисту”;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0"/>
        <w:pBdr/>
        <w:tabs>
          <w:tab w:val="left" w:leader="none" w:pos="425"/>
        </w:tabs>
        <w:spacing w:after="0" w:line="240" w:lineRule="auto"/>
        <w:ind w:right="-141" w:left="0"/>
        <w:jc w:val="both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ab/>
        <w:t xml:space="preserve">дітей з числа осіб, які мають статус «учасник бойових дій»;</w:t>
      </w:r>
      <w:r>
        <w:rPr>
          <w:rFonts w:ascii="Times New Roman" w:hAnsi="Times New Roman" w:eastAsia="Batang"/>
          <w:sz w:val="28"/>
          <w:szCs w:val="28"/>
          <w:lang w:eastAsia="ru-RU"/>
        </w:rPr>
      </w:r>
      <w:r>
        <w:rPr>
          <w:rFonts w:ascii="Times New Roman" w:hAnsi="Times New Roman" w:eastAsia="Batang"/>
          <w:sz w:val="28"/>
          <w:szCs w:val="28"/>
          <w:lang w:eastAsia="ru-RU"/>
        </w:rPr>
      </w:r>
    </w:p>
    <w:p>
      <w:pPr>
        <w:pStyle w:val="940"/>
        <w:pBdr/>
        <w:tabs>
          <w:tab w:val="left" w:leader="none" w:pos="425"/>
        </w:tabs>
        <w:spacing w:after="0" w:line="240" w:lineRule="auto"/>
        <w:ind w:right="-141" w:left="0"/>
        <w:jc w:val="both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ab/>
        <w:t xml:space="preserve">дітей, один з батьків яких загинув (пропав безвісти), помер під час захисту незалежності та суверенітету України</w:t>
      </w:r>
      <w:r>
        <w:rPr>
          <w:rFonts w:ascii="Times New Roman" w:hAnsi="Times New Roman" w:eastAsia="Batang"/>
          <w:sz w:val="28"/>
          <w:szCs w:val="28"/>
          <w:lang w:eastAsia="ru-RU"/>
        </w:rPr>
      </w:r>
      <w:r>
        <w:rPr>
          <w:rFonts w:ascii="Times New Roman" w:hAnsi="Times New Roman" w:eastAsia="Batang"/>
          <w:sz w:val="28"/>
          <w:szCs w:val="28"/>
          <w:lang w:eastAsia="ru-RU"/>
        </w:rPr>
      </w:r>
    </w:p>
    <w:p>
      <w:pPr>
        <w:pStyle w:val="940"/>
        <w:pBdr/>
        <w:tabs>
          <w:tab w:val="left" w:leader="none" w:pos="425"/>
        </w:tabs>
        <w:spacing w:after="0" w:line="240" w:lineRule="auto"/>
        <w:ind w:right="-141" w:left="0"/>
        <w:jc w:val="both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ab/>
        <w:t xml:space="preserve">дітей з інвалідністю;</w:t>
      </w:r>
      <w:r>
        <w:rPr>
          <w:rFonts w:ascii="Times New Roman" w:hAnsi="Times New Roman" w:eastAsia="Batang"/>
          <w:sz w:val="28"/>
          <w:szCs w:val="28"/>
          <w:lang w:eastAsia="ru-RU"/>
        </w:rPr>
      </w:r>
      <w:r>
        <w:rPr>
          <w:rFonts w:ascii="Times New Roman" w:hAnsi="Times New Roman" w:eastAsia="Batang"/>
          <w:sz w:val="28"/>
          <w:szCs w:val="28"/>
          <w:lang w:eastAsia="ru-RU"/>
        </w:rPr>
      </w:r>
    </w:p>
    <w:p>
      <w:pPr>
        <w:pStyle w:val="940"/>
        <w:pBdr/>
        <w:tabs>
          <w:tab w:val="left" w:leader="none" w:pos="425"/>
        </w:tabs>
        <w:spacing w:after="0" w:line="240" w:lineRule="auto"/>
        <w:ind w:right="-141" w:left="0"/>
        <w:jc w:val="both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ab/>
        <w:t xml:space="preserve">дітей військовослужбовців Збройних Сил України, інших військових формувань; співробітників Національної поліції, залучених до виконання завдань в зоні бойових дій (на період дії воєнного стану в Україні);</w:t>
      </w:r>
      <w:r>
        <w:rPr>
          <w:rFonts w:ascii="Times New Roman" w:hAnsi="Times New Roman" w:eastAsia="Batang"/>
          <w:sz w:val="28"/>
          <w:szCs w:val="28"/>
          <w:lang w:eastAsia="ru-RU"/>
        </w:rPr>
      </w:r>
      <w:r>
        <w:rPr>
          <w:rFonts w:ascii="Times New Roman" w:hAnsi="Times New Roman" w:eastAsia="Batang"/>
          <w:sz w:val="28"/>
          <w:szCs w:val="28"/>
          <w:lang w:eastAsia="ru-RU"/>
        </w:rPr>
      </w:r>
    </w:p>
    <w:p>
      <w:pPr>
        <w:pStyle w:val="940"/>
        <w:pBdr/>
        <w:tabs>
          <w:tab w:val="left" w:leader="none" w:pos="425"/>
        </w:tabs>
        <w:spacing w:after="0" w:line="240" w:lineRule="auto"/>
        <w:ind w:right="-141" w:left="0"/>
        <w:jc w:val="both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ab/>
        <w:t xml:space="preserve">дітей осіб, які належать до осіб з інвалідністю внаслідок війни;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Batang"/>
          <w:sz w:val="28"/>
          <w:szCs w:val="28"/>
          <w:lang w:eastAsia="ru-RU"/>
        </w:rPr>
      </w:r>
      <w:r>
        <w:rPr>
          <w:rFonts w:ascii="Times New Roman" w:hAnsi="Times New Roman" w:eastAsia="Batang"/>
          <w:sz w:val="28"/>
          <w:szCs w:val="28"/>
          <w:lang w:eastAsia="ru-RU"/>
        </w:rPr>
      </w:r>
    </w:p>
    <w:p>
      <w:pPr>
        <w:pStyle w:val="940"/>
        <w:pBdr/>
        <w:tabs>
          <w:tab w:val="left" w:leader="none" w:pos="425"/>
        </w:tabs>
        <w:spacing w:after="0" w:line="240" w:lineRule="auto"/>
        <w:ind w:right="-141" w:left="0"/>
        <w:jc w:val="both"/>
        <w:rPr>
          <w:rFonts w:ascii="Times New Roman" w:hAnsi="Times New Roman"/>
          <w:lang w:eastAsia="uk-UA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ab/>
        <w:t xml:space="preserve">у виняткових випадках (в разі, якщо сім’я опинилась в складних життєвих обставинах або батьки неспромо</w:t>
      </w:r>
      <w:r>
        <w:rPr>
          <w:rFonts w:ascii="Times New Roman" w:hAnsi="Times New Roman"/>
          <w:sz w:val="28"/>
          <w:szCs w:val="28"/>
          <w:lang w:eastAsia="uk-UA"/>
        </w:rPr>
        <w:t xml:space="preserve">жні з поважних причин сплачувати за харчування </w:t>
      </w:r>
      <w:r>
        <w:rPr>
          <w:rFonts w:ascii="Times New Roman" w:hAnsi="Times New Roman"/>
          <w:sz w:val="28"/>
          <w:szCs w:val="28"/>
          <w:lang w:eastAsia="uk-UA"/>
        </w:rPr>
        <w:t xml:space="preserve">дітей та інших випадках) за погодженням виконавчого комітету Менської міської ради (при наявності підтверджуючих документів, заяви одного з батьків та за пропозицією відділу освіти Менської міської ради).</w:t>
      </w:r>
      <w:r>
        <w:rPr>
          <w:rFonts w:ascii="Times New Roman" w:hAnsi="Times New Roman"/>
          <w:lang w:eastAsia="uk-UA"/>
        </w:rPr>
      </w:r>
      <w:r>
        <w:rPr>
          <w:rFonts w:ascii="Times New Roman" w:hAnsi="Times New Roman"/>
          <w:lang w:eastAsia="uk-UA"/>
        </w:rPr>
      </w:r>
    </w:p>
    <w:p>
      <w:pPr>
        <w:pBdr/>
        <w:tabs>
          <w:tab w:val="left" w:leader="none" w:pos="426"/>
          <w:tab w:val="left" w:leader="none" w:pos="851"/>
        </w:tabs>
        <w:spacing w:after="0" w:line="240" w:lineRule="auto"/>
        <w:ind w:right="-141"/>
        <w:jc w:val="both"/>
        <w:rPr>
          <w:rStyle w:val="943"/>
          <w:sz w:val="28"/>
          <w:szCs w:val="28"/>
        </w:rPr>
      </w:pPr>
      <w:r>
        <w:rPr>
          <w:rStyle w:val="943"/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 w:eastAsia="Times New Roman"/>
          <w:b/>
          <w:sz w:val="28"/>
          <w:szCs w:val="28"/>
          <w:lang w:eastAsia="uk-UA"/>
        </w:rPr>
        <w:t xml:space="preserve">Розмір плати </w:t>
      </w:r>
      <w:r>
        <w:rPr>
          <w:rFonts w:ascii="Times New Roman" w:hAnsi="Times New Roman" w:eastAsia="Times New Roman"/>
          <w:b/>
          <w:sz w:val="28"/>
          <w:szCs w:val="28"/>
          <w:lang w:eastAsia="uk-UA"/>
        </w:rPr>
        <w:t xml:space="preserve">за харчування </w:t>
      </w:r>
      <w:r>
        <w:rPr>
          <w:rFonts w:ascii="Times New Roman" w:hAnsi="Times New Roman" w:eastAsia="Times New Roman"/>
          <w:b/>
          <w:sz w:val="28"/>
          <w:szCs w:val="28"/>
          <w:lang w:eastAsia="uk-UA"/>
        </w:rPr>
        <w:t xml:space="preserve">зменшується на 50 відсотків для батьків, у сім’ях яких троє і більше дітей до 18 років</w:t>
      </w:r>
      <w:r>
        <w:rPr>
          <w:rFonts w:ascii="Times New Roman" w:hAnsi="Times New Roman" w:eastAsia="Times New Roman"/>
          <w:b/>
          <w:sz w:val="28"/>
          <w:szCs w:val="28"/>
          <w:lang w:eastAsia="uk-UA"/>
        </w:rPr>
        <w:t xml:space="preserve">.</w:t>
      </w:r>
      <w:r>
        <w:rPr>
          <w:rStyle w:val="943"/>
          <w:rFonts w:ascii="Times New Roman" w:hAnsi="Times New Roman"/>
          <w:sz w:val="28"/>
          <w:szCs w:val="28"/>
        </w:rPr>
        <w:t xml:space="preserve"> </w:t>
      </w:r>
      <w:r>
        <w:rPr>
          <w:rStyle w:val="943"/>
          <w:sz w:val="28"/>
          <w:szCs w:val="28"/>
        </w:rPr>
      </w:r>
      <w:r>
        <w:rPr>
          <w:rStyle w:val="943"/>
          <w:sz w:val="28"/>
          <w:szCs w:val="28"/>
        </w:rPr>
      </w:r>
    </w:p>
    <w:p>
      <w:pPr>
        <w:pBdr/>
        <w:spacing w:after="0" w:line="240" w:lineRule="auto"/>
        <w:ind w:right="-141" w:firstLine="720"/>
        <w:jc w:val="both"/>
        <w:rPr>
          <w:rFonts w:ascii="Times New Roman" w:hAnsi="Times New Roman" w:eastAsia="Batang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 xml:space="preserve">Для здобувачів освіти, які не мають пільг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на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харчування, ф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інансування харчування дітей в закладах дошкільної освіти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забезпечується наступним чином: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за рахунок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коштів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місцевого бюджету (50%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від вартості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дітодня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, за кошти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батьків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у вигляді плати за харчування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-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(50%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від вартості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дітодня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, яка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буде становити: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в 2025 році – 55 грн в день на одну дитину,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2026 році – 60 грн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в день на одну дитину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2027 році – 65 грн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в день на одну дитину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При цьому б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атьківська плата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за харчування дитини у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закладі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дошкільної освіти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буде становити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відповідно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: 2025 рік – 27,5 грн в день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на одну дитину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, 2026 рік- 30,0 грн в день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на одну дитину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, 2027 рік – 32,5 грн в день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на одну дитину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).</w:t>
      </w:r>
      <w:r>
        <w:rPr>
          <w:rFonts w:ascii="Times New Roman" w:hAnsi="Times New Roman" w:eastAsia="Batang"/>
          <w:lang w:eastAsia="ru-RU"/>
        </w:rPr>
      </w:r>
      <w:r>
        <w:rPr>
          <w:rFonts w:ascii="Times New Roman" w:hAnsi="Times New Roman" w:eastAsia="Batang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Batang"/>
          <w:lang w:eastAsia="ru-RU"/>
        </w:rPr>
      </w:r>
    </w:p>
    <w:p>
      <w:pPr>
        <w:pBdr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V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  Очікувані результати   виконання   програми,   визначення  її </w:t>
      </w:r>
      <w:r>
        <w:rPr>
          <w:rFonts w:ascii="Times New Roman" w:hAnsi="Times New Roman"/>
          <w:b/>
          <w:sz w:val="28"/>
          <w:szCs w:val="28"/>
          <w:lang w:eastAsia="uk-UA"/>
        </w:rPr>
        <w:br/>
        <w:t xml:space="preserve">ефективності</w:t>
      </w:r>
      <w:r>
        <w:rPr>
          <w:rFonts w:ascii="Times New Roman" w:hAnsi="Times New Roman"/>
          <w:b/>
          <w:sz w:val="28"/>
          <w:szCs w:val="28"/>
          <w:lang w:eastAsia="uk-UA"/>
        </w:rPr>
      </w:r>
      <w:r>
        <w:rPr>
          <w:rFonts w:ascii="Times New Roman" w:hAnsi="Times New Roman"/>
          <w:b/>
          <w:sz w:val="28"/>
          <w:szCs w:val="28"/>
          <w:lang w:eastAsia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Виконання Програми дасть змогу:</w:t>
      </w:r>
      <w:r>
        <w:rPr>
          <w:rFonts w:ascii="Times New Roman" w:hAnsi="Times New Roman" w:eastAsia="Times New Roman"/>
          <w:b/>
          <w:sz w:val="28"/>
          <w:szCs w:val="28"/>
          <w:lang w:eastAsia="uk-UA"/>
        </w:rPr>
      </w:r>
      <w:r>
        <w:rPr>
          <w:rFonts w:ascii="Times New Roman" w:hAnsi="Times New Roman" w:eastAsia="Times New Roman"/>
          <w:b/>
          <w:sz w:val="28"/>
          <w:szCs w:val="28"/>
          <w:lang w:eastAsia="uk-UA"/>
        </w:rPr>
      </w:r>
    </w:p>
    <w:p>
      <w:pPr>
        <w:numPr>
          <w:ilvl w:val="0"/>
          <w:numId w:val="3"/>
        </w:numPr>
        <w:pBdr/>
        <w:shd w:val="clear" w:color="auto" w:fill="ffffff"/>
        <w:tabs>
          <w:tab w:val="num" w:leader="none" w:pos="360"/>
          <w:tab w:val="clear" w:leader="none" w:pos="720"/>
        </w:tabs>
        <w:spacing w:after="0" w:line="240" w:lineRule="auto"/>
        <w:ind w:firstLine="360" w:left="0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забезпечення повноцінного і раціонального харчування дітей дошкільного віку;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numPr>
          <w:ilvl w:val="0"/>
          <w:numId w:val="2"/>
        </w:numPr>
        <w:pBdr/>
        <w:shd w:val="clear" w:color="auto" w:fill="ffffff"/>
        <w:tabs>
          <w:tab w:val="num" w:leader="none" w:pos="360"/>
          <w:tab w:val="clear" w:leader="none" w:pos="720"/>
        </w:tabs>
        <w:spacing w:after="0" w:line="240" w:lineRule="auto"/>
        <w:ind w:firstLine="360" w:left="0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забезпечити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гарячим харчуванням дітей дошкільного віку, які відвідують заклади дошкільної освіти Менської громади в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т.ч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.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гарячим безоплатним та пільговим харчуванням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 рахунок коштів місцевого бюджету, відповідно до встановленого в закладі освіти режиму (кратності) харчування для вихованців закладу освіти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з числа категорій визначених даною Програмою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;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numPr>
          <w:ilvl w:val="0"/>
          <w:numId w:val="3"/>
        </w:num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формувати навички правильного та здорового харчування;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numPr>
          <w:ilvl w:val="0"/>
          <w:numId w:val="3"/>
        </w:numPr>
        <w:pBdr/>
        <w:shd w:val="clear" w:color="auto" w:fill="ffffff"/>
        <w:tabs>
          <w:tab w:val="num" w:leader="none" w:pos="360"/>
          <w:tab w:val="clear" w:leader="none" w:pos="720"/>
        </w:tabs>
        <w:spacing w:after="0" w:line="240" w:lineRule="auto"/>
        <w:ind w:firstLine="360" w:left="0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надавати збалансоване харчування відповідно до віку і стану здоров’я дітей, урізноманітнити раціон харчування;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numPr>
          <w:ilvl w:val="0"/>
          <w:numId w:val="3"/>
        </w:numPr>
        <w:pBdr/>
        <w:shd w:val="clear" w:color="auto" w:fill="ffffff"/>
        <w:spacing w:after="0" w:line="240" w:lineRule="auto"/>
        <w:ind w:firstLine="360" w:left="0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поліпшити контроль за якістю сировини та готової продукції за системою </w:t>
      </w:r>
      <w:r>
        <w:rPr>
          <w:sz w:val="28"/>
          <w:szCs w:val="28"/>
          <w:shd w:val="clear" w:color="auto" w:fill="ffffff"/>
        </w:rPr>
        <w:t xml:space="preserve">(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НАССР);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 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numPr>
          <w:ilvl w:val="0"/>
          <w:numId w:val="3"/>
        </w:numPr>
        <w:pBdr/>
        <w:shd w:val="clear" w:color="auto" w:fill="ffffff"/>
        <w:tabs>
          <w:tab w:val="num" w:leader="none" w:pos="360"/>
          <w:tab w:val="clear" w:leader="none" w:pos="720"/>
        </w:tabs>
        <w:spacing w:after="0" w:line="240" w:lineRule="auto"/>
        <w:ind w:firstLine="360" w:left="0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забезпечити раціональне та ефективне використання бюджетних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та позабюджетних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коштів.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Style w:val="940"/>
        <w:pBdr/>
        <w:spacing w:after="0" w:line="240" w:lineRule="auto"/>
        <w:ind/>
        <w:rPr>
          <w:rFonts w:ascii="Times New Roman" w:hAnsi="Times New Roman"/>
          <w:b/>
          <w:color w:val="212529"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V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І.  </w:t>
      </w:r>
      <w:r>
        <w:rPr>
          <w:rFonts w:ascii="Times New Roman" w:hAnsi="Times New Roman"/>
          <w:b/>
          <w:color w:val="212529"/>
          <w:sz w:val="28"/>
          <w:szCs w:val="28"/>
          <w:lang w:eastAsia="uk-UA"/>
        </w:rPr>
        <w:t xml:space="preserve">Оцінка фінансових,  матеріально-технічних, трудових ресурсів, </w:t>
      </w:r>
      <w:r>
        <w:rPr>
          <w:rFonts w:ascii="Times New Roman" w:hAnsi="Times New Roman"/>
          <w:b/>
          <w:color w:val="212529"/>
          <w:sz w:val="28"/>
          <w:szCs w:val="28"/>
          <w:lang w:eastAsia="uk-UA"/>
        </w:rPr>
        <w:br/>
        <w:t xml:space="preserve">необхідних для виконання програми</w:t>
      </w:r>
      <w:r>
        <w:rPr>
          <w:rFonts w:ascii="Times New Roman" w:hAnsi="Times New Roman"/>
          <w:b/>
          <w:color w:val="212529"/>
          <w:sz w:val="28"/>
          <w:szCs w:val="28"/>
          <w:lang w:eastAsia="uk-UA"/>
        </w:rPr>
      </w:r>
      <w:r>
        <w:rPr>
          <w:rFonts w:ascii="Times New Roman" w:hAnsi="Times New Roman"/>
          <w:b/>
          <w:color w:val="212529"/>
          <w:sz w:val="28"/>
          <w:szCs w:val="28"/>
          <w:lang w:eastAsia="uk-UA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212529"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Фінансування Програми здійснюється за рахунок коштів бюджету  Менської міської територіальної громади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а також за рахунок інших джерел, не заборонених законодавством України.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 xml:space="preserve">При цьому обсяг коштів визначається під час формування бюджету з урахуванням його фінансових можливостей та може змінюватися в процесі виконання бюджету при внесенні змін до нього, з урахуванням 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того, що протягом року мож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лива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змін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а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кількост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і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дітей, які відвідують заклади дошкільної освіти, а також кількість дітей, яким надається безоплатн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е та пільгове гаряче харчування.</w:t>
      </w:r>
      <w:r>
        <w:rPr>
          <w:rFonts w:ascii="Times New Roman" w:hAnsi="Times New Roman" w:eastAsia="Batang"/>
          <w:sz w:val="28"/>
          <w:szCs w:val="28"/>
          <w:lang w:eastAsia="ru-RU"/>
        </w:rPr>
      </w:r>
      <w:r>
        <w:rPr>
          <w:rFonts w:ascii="Times New Roman" w:hAnsi="Times New Roman" w:eastAsia="Batang"/>
          <w:sz w:val="28"/>
          <w:szCs w:val="28"/>
          <w:lang w:eastAsia="ru-RU"/>
        </w:rPr>
      </w:r>
    </w:p>
    <w:p>
      <w:pPr>
        <w:pBdr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Прогнозований обсяг коштів, що планується залучити до фінансування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в 2025-2027 роках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, передбачається  у  сумі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19 546 050,00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 грн.  З них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кошти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місцевого бюджету у межах загального обсягу асигнувань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– 17 446 050,00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грн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;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кошти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спец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іального фонду (плата за послуги, що надаються бюджетними установами згідно з їх основною діяльністю, спонсорські кошти, надходження благодійних внесків від батьків в натуральній формі, інші джерела коштів, не заборонених законодавством – 2 100 000,00 грн.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</w:r>
    </w:p>
    <w:p>
      <w:pPr>
        <w:pBdr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Відділ освіти за підсумками кожного року та щоквартально подає звіт про виконання Програми та вносить пропозиції щодо потреби в коштах на наступний рік, до кінця дії Програми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Style w:val="940"/>
        <w:pBdr/>
        <w:spacing w:after="0" w:line="240" w:lineRule="auto"/>
        <w:ind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V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ІІ.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Координація та контроль за ходом виконання Програми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Організація виконання Програми покладається на Відділ освіти Менської міської ради, Комунальну установу «</w:t>
      </w:r>
      <w:r>
        <w:rPr>
          <w:rFonts w:ascii="Times New Roman" w:hAnsi="Times New Roman"/>
          <w:sz w:val="28"/>
          <w:szCs w:val="28"/>
          <w:lang w:eastAsia="ru-RU"/>
        </w:rPr>
        <w:t xml:space="preserve">Центр з обслуговування освіт</w:t>
      </w:r>
      <w:r>
        <w:rPr>
          <w:rFonts w:ascii="Times New Roman" w:hAnsi="Times New Roman"/>
          <w:sz w:val="28"/>
          <w:szCs w:val="28"/>
          <w:lang w:eastAsia="ru-RU"/>
        </w:rPr>
        <w:t xml:space="preserve">ніх установ та закладів освіти», керівників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  закладів дошкільної освіти Менської ТГ.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  <w:lang w:eastAsia="ru-RU"/>
        </w:rPr>
        <w:t xml:space="preserve">Контроль за ходом р</w:t>
      </w:r>
      <w:r>
        <w:rPr>
          <w:rFonts w:ascii="Times New Roman" w:hAnsi="Times New Roman"/>
          <w:sz w:val="28"/>
          <w:szCs w:val="28"/>
          <w:lang w:eastAsia="ru-RU"/>
        </w:rPr>
        <w:t xml:space="preserve">еалізації Програми здійснюється постійною комісією Менської міської ради з питань охорони здоров’я, соціального захисту населення, освіти, культури, молоді, фізкультури і спорту, заступником голови з питань діяльності виконавчих органів ради Прищепою В.В.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</w:r>
    </w:p>
    <w:p>
      <w:pPr>
        <w:pBdr/>
        <w:shd w:val="clear" w:color="auto" w:fill="ffffff"/>
        <w:spacing w:after="150" w:line="240" w:lineRule="auto"/>
        <w:ind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afterAutospacing="0" w:line="240" w:lineRule="auto"/>
        <w:ind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Начальник Відділу освіти</w:t>
      </w:r>
      <w:r>
        <w:rPr>
          <w:rFonts w:ascii="Times New Roman" w:hAnsi="Times New Roman" w:eastAsia="Times New Roman"/>
          <w:sz w:val="28"/>
          <w:szCs w:val="28"/>
          <w:lang w:eastAsia="uk-UA"/>
        </w:rPr>
        <w:tab/>
      </w: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afterAutospacing="0" w:line="240" w:lineRule="auto"/>
        <w:ind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Менської міської ради</w:t>
      </w:r>
      <w:r>
        <w:rPr>
          <w:rFonts w:ascii="Times New Roman" w:hAnsi="Times New Roman" w:eastAsia="Times New Roman"/>
          <w:sz w:val="28"/>
          <w:szCs w:val="28"/>
          <w:lang w:eastAsia="uk-UA"/>
        </w:rPr>
        <w:tab/>
      </w:r>
      <w:r>
        <w:rPr>
          <w:rFonts w:ascii="Times New Roman" w:hAnsi="Times New Roman" w:eastAsia="Times New Roman"/>
          <w:sz w:val="28"/>
          <w:szCs w:val="28"/>
          <w:lang w:eastAsia="uk-UA"/>
        </w:rPr>
        <w:tab/>
      </w:r>
      <w:r>
        <w:rPr>
          <w:rFonts w:ascii="Times New Roman" w:hAnsi="Times New Roman" w:eastAsia="Times New Roman"/>
          <w:sz w:val="28"/>
          <w:szCs w:val="28"/>
          <w:lang w:eastAsia="uk-UA"/>
        </w:rPr>
        <w:tab/>
      </w:r>
      <w:r>
        <w:rPr>
          <w:rFonts w:ascii="Times New Roman" w:hAnsi="Times New Roman" w:eastAsia="Times New Roman"/>
          <w:sz w:val="28"/>
          <w:szCs w:val="28"/>
          <w:lang w:eastAsia="uk-UA"/>
        </w:rPr>
        <w:tab/>
      </w:r>
      <w:r>
        <w:rPr>
          <w:rFonts w:ascii="Times New Roman" w:hAnsi="Times New Roman" w:eastAsia="Times New Roman"/>
          <w:sz w:val="28"/>
          <w:szCs w:val="28"/>
          <w:lang w:eastAsia="uk-UA"/>
        </w:rPr>
        <w:tab/>
        <w:t xml:space="preserve">Ірина ЛУК’ЯНЕНКО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shd w:val="clear" w:color="auto" w:fill="ffffff"/>
        <w:spacing w:after="150" w:line="240" w:lineRule="auto"/>
        <w:ind/>
        <w:jc w:val="both"/>
        <w:rPr>
          <w:rFonts w:ascii="Arial" w:hAnsi="Arial" w:eastAsia="Times New Roman" w:cs="Arial"/>
          <w:color w:val="444444"/>
          <w:sz w:val="21"/>
          <w:szCs w:val="21"/>
          <w:lang w:eastAsia="uk-UA"/>
        </w:rPr>
      </w:pPr>
      <w:r>
        <w:rPr>
          <w:rFonts w:ascii="Times New Roman" w:hAnsi="Times New Roman" w:eastAsia="Times New Roman"/>
          <w:color w:val="44546a" w:themeColor="text2"/>
          <w:sz w:val="28"/>
          <w:szCs w:val="28"/>
          <w:lang w:eastAsia="uk-UA"/>
        </w:rPr>
        <w:t xml:space="preserve"> </w:t>
      </w:r>
      <w:r>
        <w:rPr>
          <w:rFonts w:ascii="Arial" w:hAnsi="Arial" w:eastAsia="Times New Roman" w:cs="Arial"/>
          <w:color w:val="444444"/>
          <w:sz w:val="21"/>
          <w:szCs w:val="21"/>
          <w:lang w:eastAsia="uk-UA"/>
        </w:rPr>
      </w:r>
      <w:r>
        <w:rPr>
          <w:rFonts w:ascii="Arial" w:hAnsi="Arial" w:eastAsia="Times New Roman" w:cs="Arial"/>
          <w:color w:val="444444"/>
          <w:sz w:val="21"/>
          <w:szCs w:val="21"/>
          <w:lang w:eastAsia="uk-UA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left"/>
        <w:rPr/>
      </w:pPr>
      <w:r/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imes New Roman">
    <w:panose1 w:val="02020603050405020304"/>
  </w:font>
  <w:font w:name="Batang">
    <w:panose1 w:val="02020603020101020101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8"/>
      <w:pBdr/>
      <w:spacing/>
      <w:ind/>
      <w:jc w:val="right"/>
      <w:rPr>
        <w:rFonts w:ascii="Times New Roman" w:hAnsi="Times New Roman" w:eastAsia="Times New Roman"/>
        <w:i/>
        <w:sz w:val="24"/>
      </w:rPr>
    </w:pPr>
    <w:r>
      <w:rPr>
        <w:rFonts w:ascii="Times New Roman" w:hAnsi="Times New Roman" w:eastAsia="Times New Roman"/>
        <w:i/>
        <w:sz w:val="24"/>
      </w:rPr>
      <w:fldChar w:fldCharType="begin"/>
    </w:r>
    <w:r>
      <w:rPr>
        <w:rFonts w:ascii="Times New Roman" w:hAnsi="Times New Roman" w:eastAsia="Times New Roman"/>
        <w:i/>
        <w:sz w:val="24"/>
      </w:rPr>
      <w:instrText xml:space="preserve">PAGE \* MERGEFORMAT</w:instrText>
    </w:r>
    <w:r>
      <w:rPr>
        <w:rFonts w:ascii="Times New Roman" w:hAnsi="Times New Roman" w:eastAsia="Times New Roman"/>
        <w:i/>
        <w:sz w:val="24"/>
      </w:rPr>
      <w:fldChar w:fldCharType="separate"/>
    </w:r>
    <w:r>
      <w:rPr>
        <w:rFonts w:ascii="Times New Roman" w:hAnsi="Times New Roman" w:eastAsia="Times New Roman"/>
        <w:i/>
        <w:sz w:val="24"/>
      </w:rPr>
      <w:t xml:space="preserve">1</w:t>
    </w:r>
    <w:r>
      <w:rPr>
        <w:rFonts w:ascii="Times New Roman" w:hAnsi="Times New Roman" w:eastAsia="Times New Roman"/>
        <w:i/>
        <w:sz w:val="24"/>
      </w:rPr>
      <w:fldChar w:fldCharType="end"/>
    </w:r>
    <w:r>
      <w:rPr>
        <w:rFonts w:ascii="Times New Roman" w:hAnsi="Times New Roman" w:eastAsia="Times New Roman"/>
        <w:i/>
        <w:sz w:val="24"/>
      </w:rPr>
      <w:t xml:space="preserve">                                     продовження додатка</w:t>
    </w:r>
    <w:r>
      <w:rPr>
        <w:rFonts w:ascii="Times New Roman" w:hAnsi="Times New Roman" w:eastAsia="Times New Roman"/>
        <w:i/>
        <w:sz w:val="24"/>
      </w:rPr>
    </w:r>
    <w:r>
      <w:rPr>
        <w:rFonts w:ascii="Times New Roman" w:hAnsi="Times New Roman" w:eastAsia="Times New Roman"/>
        <w:i/>
        <w:sz w:val="24"/>
      </w:rPr>
    </w:r>
  </w:p>
  <w:p>
    <w:pPr>
      <w:pStyle w:val="788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8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Times New Roman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6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Times New Roman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59" w:left="928"/>
      </w:pPr>
      <w:rPr>
        <w:rFonts w:hint="default" w:ascii="Times New Roman" w:hAnsi="Times New Roman" w:eastAsia="Batang" w:cs="Times New Roman"/>
      </w:rPr>
      <w:start w:val="5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64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36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308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80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52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24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96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688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4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81"/>
      </w:pPr>
      <w:rPr>
        <w:b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1"/>
      </w:pPr>
      <w:rPr/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Times New Roman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Times New Roman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num w:numId="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0"/>
  </w:num>
  <w:num w:numId="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Heading 1 Char"/>
    <w:basedOn w:val="767"/>
    <w:link w:val="7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34">
    <w:name w:val="Heading 2 Char"/>
    <w:basedOn w:val="767"/>
    <w:link w:val="7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35">
    <w:name w:val="Heading 3 Char"/>
    <w:basedOn w:val="767"/>
    <w:link w:val="7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36">
    <w:name w:val="Heading 4 Char"/>
    <w:basedOn w:val="767"/>
    <w:link w:val="76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37">
    <w:name w:val="Heading 5 Char"/>
    <w:basedOn w:val="767"/>
    <w:link w:val="7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38">
    <w:name w:val="Heading 6 Char"/>
    <w:basedOn w:val="767"/>
    <w:link w:val="76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39">
    <w:name w:val="Heading 7 Char"/>
    <w:basedOn w:val="767"/>
    <w:link w:val="76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0">
    <w:name w:val="Heading 8 Char"/>
    <w:basedOn w:val="767"/>
    <w:link w:val="7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1">
    <w:name w:val="Heading 9 Char"/>
    <w:basedOn w:val="767"/>
    <w:link w:val="76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2">
    <w:name w:val="Title Char"/>
    <w:basedOn w:val="767"/>
    <w:link w:val="78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43">
    <w:name w:val="Subtitle Char"/>
    <w:basedOn w:val="767"/>
    <w:link w:val="78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44">
    <w:name w:val="Quote Char"/>
    <w:basedOn w:val="767"/>
    <w:link w:val="78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45">
    <w:name w:val="Intense Emphasis"/>
    <w:basedOn w:val="76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46">
    <w:name w:val="Intense Quote Char"/>
    <w:basedOn w:val="767"/>
    <w:link w:val="78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47">
    <w:name w:val="Intense Reference"/>
    <w:basedOn w:val="76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48">
    <w:name w:val="Subtle Emphasis"/>
    <w:basedOn w:val="76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9">
    <w:name w:val="Emphasis"/>
    <w:basedOn w:val="767"/>
    <w:uiPriority w:val="20"/>
    <w:qFormat/>
    <w:pPr>
      <w:pBdr/>
      <w:spacing/>
      <w:ind/>
    </w:pPr>
    <w:rPr>
      <w:i/>
      <w:iCs/>
    </w:rPr>
  </w:style>
  <w:style w:type="character" w:styleId="750">
    <w:name w:val="Strong"/>
    <w:basedOn w:val="767"/>
    <w:uiPriority w:val="22"/>
    <w:qFormat/>
    <w:pPr>
      <w:pBdr/>
      <w:spacing/>
      <w:ind/>
    </w:pPr>
    <w:rPr>
      <w:b/>
      <w:bCs/>
    </w:rPr>
  </w:style>
  <w:style w:type="character" w:styleId="751">
    <w:name w:val="Subtle Reference"/>
    <w:basedOn w:val="76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2">
    <w:name w:val="Book Title"/>
    <w:basedOn w:val="76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3">
    <w:name w:val="Header Char"/>
    <w:basedOn w:val="767"/>
    <w:link w:val="788"/>
    <w:uiPriority w:val="99"/>
    <w:pPr>
      <w:pBdr/>
      <w:spacing/>
      <w:ind/>
    </w:pPr>
  </w:style>
  <w:style w:type="character" w:styleId="754">
    <w:name w:val="Footnote Text Char"/>
    <w:basedOn w:val="767"/>
    <w:link w:val="920"/>
    <w:uiPriority w:val="99"/>
    <w:semiHidden/>
    <w:pPr>
      <w:pBdr/>
      <w:spacing/>
      <w:ind/>
    </w:pPr>
    <w:rPr>
      <w:sz w:val="20"/>
      <w:szCs w:val="20"/>
    </w:rPr>
  </w:style>
  <w:style w:type="character" w:styleId="755">
    <w:name w:val="Endnote Text Char"/>
    <w:basedOn w:val="767"/>
    <w:link w:val="923"/>
    <w:uiPriority w:val="99"/>
    <w:semiHidden/>
    <w:pPr>
      <w:pBdr/>
      <w:spacing/>
      <w:ind/>
    </w:pPr>
    <w:rPr>
      <w:sz w:val="20"/>
      <w:szCs w:val="20"/>
    </w:rPr>
  </w:style>
  <w:style w:type="character" w:styleId="756">
    <w:name w:val="FollowedHyperlink"/>
    <w:basedOn w:val="76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57" w:default="1">
    <w:name w:val="Normal"/>
    <w:qFormat/>
    <w:pPr>
      <w:pBdr/>
      <w:spacing w:line="256" w:lineRule="auto"/>
      <w:ind/>
    </w:pPr>
    <w:rPr>
      <w:rFonts w:ascii="Calibri" w:hAnsi="Calibri" w:eastAsia="Calibri" w:cs="Times New Roman"/>
      <w:lang w:val="uk-UA"/>
    </w:rPr>
  </w:style>
  <w:style w:type="paragraph" w:styleId="758">
    <w:name w:val="Heading 1"/>
    <w:basedOn w:val="757"/>
    <w:next w:val="757"/>
    <w:link w:val="77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59">
    <w:name w:val="Heading 2"/>
    <w:basedOn w:val="757"/>
    <w:next w:val="757"/>
    <w:link w:val="77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60">
    <w:name w:val="Heading 3"/>
    <w:basedOn w:val="757"/>
    <w:next w:val="757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61">
    <w:name w:val="Heading 4"/>
    <w:basedOn w:val="757"/>
    <w:next w:val="757"/>
    <w:link w:val="77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2">
    <w:name w:val="Heading 5"/>
    <w:basedOn w:val="757"/>
    <w:next w:val="757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3">
    <w:name w:val="Heading 6"/>
    <w:basedOn w:val="757"/>
    <w:next w:val="757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64">
    <w:name w:val="Heading 7"/>
    <w:basedOn w:val="757"/>
    <w:next w:val="757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65">
    <w:name w:val="Heading 8"/>
    <w:basedOn w:val="757"/>
    <w:next w:val="757"/>
    <w:link w:val="77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66">
    <w:name w:val="Heading 9"/>
    <w:basedOn w:val="757"/>
    <w:next w:val="757"/>
    <w:link w:val="77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7" w:default="1">
    <w:name w:val="Default Paragraph Font"/>
    <w:uiPriority w:val="1"/>
    <w:semiHidden/>
    <w:unhideWhenUsed/>
    <w:pPr>
      <w:pBdr/>
      <w:spacing/>
      <w:ind/>
    </w:pPr>
  </w:style>
  <w:style w:type="table" w:styleId="76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9" w:default="1">
    <w:name w:val="No List"/>
    <w:uiPriority w:val="99"/>
    <w:semiHidden/>
    <w:unhideWhenUsed/>
    <w:pPr>
      <w:pBdr/>
      <w:spacing/>
      <w:ind/>
    </w:pPr>
  </w:style>
  <w:style w:type="character" w:styleId="770" w:customStyle="1">
    <w:name w:val="Заголовок 1 Знак"/>
    <w:basedOn w:val="767"/>
    <w:link w:val="75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1" w:customStyle="1">
    <w:name w:val="Заголовок 2 Знак"/>
    <w:basedOn w:val="767"/>
    <w:link w:val="75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2" w:customStyle="1">
    <w:name w:val="Заголовок 3 Знак"/>
    <w:basedOn w:val="767"/>
    <w:link w:val="76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3" w:customStyle="1">
    <w:name w:val="Заголовок 4 Знак"/>
    <w:basedOn w:val="767"/>
    <w:link w:val="76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4" w:customStyle="1">
    <w:name w:val="Заголовок 5 Знак"/>
    <w:basedOn w:val="767"/>
    <w:link w:val="7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5" w:customStyle="1">
    <w:name w:val="Заголовок 6 Знак"/>
    <w:basedOn w:val="767"/>
    <w:link w:val="76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6" w:customStyle="1">
    <w:name w:val="Заголовок 7 Знак"/>
    <w:basedOn w:val="767"/>
    <w:link w:val="76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7" w:customStyle="1">
    <w:name w:val="Заголовок 8 Знак"/>
    <w:basedOn w:val="767"/>
    <w:link w:val="76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8" w:customStyle="1">
    <w:name w:val="Заголовок 9 Знак"/>
    <w:basedOn w:val="767"/>
    <w:link w:val="7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9">
    <w:name w:val="No Spacing"/>
    <w:uiPriority w:val="1"/>
    <w:qFormat/>
    <w:pPr>
      <w:pBdr/>
      <w:spacing w:after="0" w:line="240" w:lineRule="auto"/>
      <w:ind/>
    </w:pPr>
  </w:style>
  <w:style w:type="paragraph" w:styleId="780">
    <w:name w:val="Title"/>
    <w:basedOn w:val="757"/>
    <w:next w:val="757"/>
    <w:link w:val="78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1" w:customStyle="1">
    <w:name w:val="Назва Знак"/>
    <w:basedOn w:val="767"/>
    <w:link w:val="780"/>
    <w:uiPriority w:val="10"/>
    <w:pPr>
      <w:pBdr/>
      <w:spacing/>
      <w:ind/>
    </w:pPr>
    <w:rPr>
      <w:sz w:val="48"/>
      <w:szCs w:val="48"/>
    </w:rPr>
  </w:style>
  <w:style w:type="paragraph" w:styleId="782">
    <w:name w:val="Subtitle"/>
    <w:basedOn w:val="757"/>
    <w:next w:val="757"/>
    <w:link w:val="78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3" w:customStyle="1">
    <w:name w:val="Підзаголовок Знак"/>
    <w:basedOn w:val="767"/>
    <w:link w:val="782"/>
    <w:uiPriority w:val="11"/>
    <w:pPr>
      <w:pBdr/>
      <w:spacing/>
      <w:ind/>
    </w:pPr>
    <w:rPr>
      <w:sz w:val="24"/>
      <w:szCs w:val="24"/>
    </w:rPr>
  </w:style>
  <w:style w:type="paragraph" w:styleId="784">
    <w:name w:val="Quote"/>
    <w:basedOn w:val="757"/>
    <w:next w:val="757"/>
    <w:link w:val="785"/>
    <w:uiPriority w:val="29"/>
    <w:qFormat/>
    <w:pPr>
      <w:pBdr/>
      <w:spacing/>
      <w:ind w:right="720" w:left="720"/>
    </w:pPr>
    <w:rPr>
      <w:i/>
    </w:rPr>
  </w:style>
  <w:style w:type="character" w:styleId="785" w:customStyle="1">
    <w:name w:val="Цитата Знак"/>
    <w:link w:val="784"/>
    <w:uiPriority w:val="29"/>
    <w:pPr>
      <w:pBdr/>
      <w:spacing/>
      <w:ind/>
    </w:pPr>
    <w:rPr>
      <w:i/>
    </w:rPr>
  </w:style>
  <w:style w:type="paragraph" w:styleId="786">
    <w:name w:val="Intense Quote"/>
    <w:basedOn w:val="757"/>
    <w:next w:val="757"/>
    <w:link w:val="78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87" w:customStyle="1">
    <w:name w:val="Насичена цитата Знак"/>
    <w:link w:val="786"/>
    <w:uiPriority w:val="30"/>
    <w:pPr>
      <w:pBdr/>
      <w:spacing/>
      <w:ind/>
    </w:pPr>
    <w:rPr>
      <w:i/>
    </w:rPr>
  </w:style>
  <w:style w:type="paragraph" w:styleId="788">
    <w:name w:val="Header"/>
    <w:basedOn w:val="757"/>
    <w:link w:val="7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9" w:customStyle="1">
    <w:name w:val="Верхній колонтитул Знак"/>
    <w:basedOn w:val="767"/>
    <w:link w:val="788"/>
    <w:uiPriority w:val="99"/>
    <w:pPr>
      <w:pBdr/>
      <w:spacing/>
      <w:ind/>
    </w:pPr>
  </w:style>
  <w:style w:type="paragraph" w:styleId="790">
    <w:name w:val="Footer"/>
    <w:basedOn w:val="757"/>
    <w:link w:val="79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1" w:customStyle="1">
    <w:name w:val="Footer Char"/>
    <w:basedOn w:val="767"/>
    <w:uiPriority w:val="99"/>
    <w:pPr>
      <w:pBdr/>
      <w:spacing/>
      <w:ind/>
    </w:pPr>
  </w:style>
  <w:style w:type="paragraph" w:styleId="792">
    <w:name w:val="Caption"/>
    <w:basedOn w:val="757"/>
    <w:next w:val="757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793" w:customStyle="1">
    <w:name w:val="Нижній колонтитул Знак"/>
    <w:link w:val="790"/>
    <w:uiPriority w:val="99"/>
    <w:pPr>
      <w:pBdr/>
      <w:spacing/>
      <w:ind/>
    </w:pPr>
  </w:style>
  <w:style w:type="table" w:styleId="794">
    <w:name w:val="Table Grid"/>
    <w:basedOn w:val="768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Table Grid Light"/>
    <w:basedOn w:val="76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1"/>
    <w:basedOn w:val="76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2"/>
    <w:basedOn w:val="76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1 Light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1 Light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1 Light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2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2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2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3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3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3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1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2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3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4 - Accent 4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4 - Accent 5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4 - Accent 6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5 Dark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5 Dark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5 Dark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6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6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6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7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7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7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1 Light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1 Light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1 Light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2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2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2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3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3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3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4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4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4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5 Dark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5 Dark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5 Dark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6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6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6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7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7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7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1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 2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 3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 4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 5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 6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1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2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 3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 4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 - Accent 5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 6"/>
    <w:basedOn w:val="76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0">
    <w:name w:val="footnote text"/>
    <w:basedOn w:val="757"/>
    <w:link w:val="92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1" w:customStyle="1">
    <w:name w:val="Текст виноски Знак"/>
    <w:link w:val="920"/>
    <w:uiPriority w:val="99"/>
    <w:pPr>
      <w:pBdr/>
      <w:spacing/>
      <w:ind/>
    </w:pPr>
    <w:rPr>
      <w:sz w:val="18"/>
    </w:rPr>
  </w:style>
  <w:style w:type="character" w:styleId="922">
    <w:name w:val="footnote reference"/>
    <w:basedOn w:val="767"/>
    <w:uiPriority w:val="99"/>
    <w:unhideWhenUsed/>
    <w:pPr>
      <w:pBdr/>
      <w:spacing/>
      <w:ind/>
    </w:pPr>
    <w:rPr>
      <w:vertAlign w:val="superscript"/>
    </w:rPr>
  </w:style>
  <w:style w:type="paragraph" w:styleId="923">
    <w:name w:val="endnote text"/>
    <w:basedOn w:val="757"/>
    <w:link w:val="92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4" w:customStyle="1">
    <w:name w:val="Текст кінцевої виноски Знак"/>
    <w:link w:val="923"/>
    <w:uiPriority w:val="99"/>
    <w:pPr>
      <w:pBdr/>
      <w:spacing/>
      <w:ind/>
    </w:pPr>
    <w:rPr>
      <w:sz w:val="20"/>
    </w:rPr>
  </w:style>
  <w:style w:type="character" w:styleId="925">
    <w:name w:val="endnote reference"/>
    <w:basedOn w:val="767"/>
    <w:uiPriority w:val="99"/>
    <w:semiHidden/>
    <w:unhideWhenUsed/>
    <w:pPr>
      <w:pBdr/>
      <w:spacing/>
      <w:ind/>
    </w:pPr>
    <w:rPr>
      <w:vertAlign w:val="superscript"/>
    </w:rPr>
  </w:style>
  <w:style w:type="paragraph" w:styleId="926">
    <w:name w:val="toc 1"/>
    <w:basedOn w:val="757"/>
    <w:next w:val="757"/>
    <w:uiPriority w:val="39"/>
    <w:unhideWhenUsed/>
    <w:pPr>
      <w:pBdr/>
      <w:spacing w:after="57"/>
      <w:ind/>
    </w:pPr>
  </w:style>
  <w:style w:type="paragraph" w:styleId="927">
    <w:name w:val="toc 2"/>
    <w:basedOn w:val="757"/>
    <w:next w:val="757"/>
    <w:uiPriority w:val="39"/>
    <w:unhideWhenUsed/>
    <w:pPr>
      <w:pBdr/>
      <w:spacing w:after="57"/>
      <w:ind w:left="283"/>
    </w:pPr>
  </w:style>
  <w:style w:type="paragraph" w:styleId="928">
    <w:name w:val="toc 3"/>
    <w:basedOn w:val="757"/>
    <w:next w:val="757"/>
    <w:uiPriority w:val="39"/>
    <w:unhideWhenUsed/>
    <w:pPr>
      <w:pBdr/>
      <w:spacing w:after="57"/>
      <w:ind w:left="567"/>
    </w:pPr>
  </w:style>
  <w:style w:type="paragraph" w:styleId="929">
    <w:name w:val="toc 4"/>
    <w:basedOn w:val="757"/>
    <w:next w:val="757"/>
    <w:uiPriority w:val="39"/>
    <w:unhideWhenUsed/>
    <w:pPr>
      <w:pBdr/>
      <w:spacing w:after="57"/>
      <w:ind w:left="850"/>
    </w:pPr>
  </w:style>
  <w:style w:type="paragraph" w:styleId="930">
    <w:name w:val="toc 5"/>
    <w:basedOn w:val="757"/>
    <w:next w:val="757"/>
    <w:uiPriority w:val="39"/>
    <w:unhideWhenUsed/>
    <w:pPr>
      <w:pBdr/>
      <w:spacing w:after="57"/>
      <w:ind w:left="1134"/>
    </w:pPr>
  </w:style>
  <w:style w:type="paragraph" w:styleId="931">
    <w:name w:val="toc 6"/>
    <w:basedOn w:val="757"/>
    <w:next w:val="757"/>
    <w:uiPriority w:val="39"/>
    <w:unhideWhenUsed/>
    <w:pPr>
      <w:pBdr/>
      <w:spacing w:after="57"/>
      <w:ind w:left="1417"/>
    </w:pPr>
  </w:style>
  <w:style w:type="paragraph" w:styleId="932">
    <w:name w:val="toc 7"/>
    <w:basedOn w:val="757"/>
    <w:next w:val="757"/>
    <w:uiPriority w:val="39"/>
    <w:unhideWhenUsed/>
    <w:pPr>
      <w:pBdr/>
      <w:spacing w:after="57"/>
      <w:ind w:left="1701"/>
    </w:pPr>
  </w:style>
  <w:style w:type="paragraph" w:styleId="933">
    <w:name w:val="toc 8"/>
    <w:basedOn w:val="757"/>
    <w:next w:val="757"/>
    <w:uiPriority w:val="39"/>
    <w:unhideWhenUsed/>
    <w:pPr>
      <w:pBdr/>
      <w:spacing w:after="57"/>
      <w:ind w:left="1984"/>
    </w:pPr>
  </w:style>
  <w:style w:type="paragraph" w:styleId="934">
    <w:name w:val="toc 9"/>
    <w:basedOn w:val="757"/>
    <w:next w:val="757"/>
    <w:uiPriority w:val="39"/>
    <w:unhideWhenUsed/>
    <w:pPr>
      <w:pBdr/>
      <w:spacing w:after="57"/>
      <w:ind w:left="2268"/>
    </w:pPr>
  </w:style>
  <w:style w:type="paragraph" w:styleId="935">
    <w:name w:val="TOC Heading"/>
    <w:uiPriority w:val="39"/>
    <w:unhideWhenUsed/>
    <w:pPr>
      <w:pBdr/>
      <w:spacing/>
      <w:ind/>
    </w:pPr>
  </w:style>
  <w:style w:type="paragraph" w:styleId="936">
    <w:name w:val="table of figures"/>
    <w:basedOn w:val="757"/>
    <w:next w:val="757"/>
    <w:uiPriority w:val="99"/>
    <w:unhideWhenUsed/>
    <w:pPr>
      <w:pBdr/>
      <w:spacing w:after="0"/>
      <w:ind/>
    </w:pPr>
  </w:style>
  <w:style w:type="character" w:styleId="937">
    <w:name w:val="Hyperlink"/>
    <w:uiPriority w:val="99"/>
    <w:semiHidden/>
    <w:unhideWhenUsed/>
    <w:pPr>
      <w:pBdr/>
      <w:spacing/>
      <w:ind/>
    </w:pPr>
    <w:rPr>
      <w:color w:val="0563c1" w:themeColor="hyperlink"/>
      <w:u w:val="single"/>
    </w:rPr>
  </w:style>
  <w:style w:type="paragraph" w:styleId="938">
    <w:name w:val="HTML Preformatted"/>
    <w:basedOn w:val="757"/>
    <w:link w:val="939"/>
    <w:uiPriority w:val="99"/>
    <w:semiHidden/>
    <w:unhideWhenUsed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character" w:styleId="939" w:customStyle="1">
    <w:name w:val="Стандартний HTML Знак"/>
    <w:basedOn w:val="767"/>
    <w:link w:val="938"/>
    <w:uiPriority w:val="99"/>
    <w:semiHidden/>
    <w:pPr>
      <w:pBdr/>
      <w:spacing/>
      <w:ind/>
    </w:pPr>
    <w:rPr>
      <w:rFonts w:ascii="Courier New" w:hAnsi="Courier New" w:eastAsia="Times New Roman" w:cs="Courier New"/>
      <w:sz w:val="20"/>
      <w:szCs w:val="20"/>
      <w:lang w:val="uk-UA" w:eastAsia="uk-UA"/>
    </w:rPr>
  </w:style>
  <w:style w:type="paragraph" w:styleId="940">
    <w:name w:val="List Paragraph"/>
    <w:basedOn w:val="757"/>
    <w:uiPriority w:val="34"/>
    <w:qFormat/>
    <w:pPr>
      <w:pBdr/>
      <w:spacing/>
      <w:ind w:left="720"/>
      <w:contextualSpacing w:val="true"/>
    </w:pPr>
  </w:style>
  <w:style w:type="paragraph" w:styleId="941" w:customStyle="1">
    <w:name w:val="rvps2"/>
    <w:basedOn w:val="757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uk-UA"/>
    </w:rPr>
  </w:style>
  <w:style w:type="character" w:styleId="942" w:customStyle="1">
    <w:name w:val="1332"/>
    <w:basedOn w:val="767"/>
    <w:pPr>
      <w:pBdr/>
      <w:spacing/>
      <w:ind/>
    </w:pPr>
  </w:style>
  <w:style w:type="character" w:styleId="943" w:customStyle="1">
    <w:name w:val="4247"/>
    <w:basedOn w:val="767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hyperlink" Target="https://zakon.rada.gov.ua/laws/show/1768-14" TargetMode="External"/><Relationship Id="rId15" Type="http://schemas.openxmlformats.org/officeDocument/2006/relationships/hyperlink" Target="https://zakon.rada.gov.ua/laws/show/796-12" TargetMode="External"/><Relationship Id="rId16" Type="http://schemas.openxmlformats.org/officeDocument/2006/relationships/hyperlink" Target="https://zakon.rada.gov.ua/laws/show/3551-12" TargetMode="External"/><Relationship Id="rId17" Type="http://schemas.openxmlformats.org/officeDocument/2006/relationships/hyperlink" Target="https://zakon.rada.gov.ua/laws/show/1768-14" TargetMode="External"/><Relationship Id="rId18" Type="http://schemas.openxmlformats.org/officeDocument/2006/relationships/hyperlink" Target="https://zakon.rada.gov.ua/laws/show/796-1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Adminov Admin </cp:lastModifiedBy>
  <cp:revision>66</cp:revision>
  <dcterms:created xsi:type="dcterms:W3CDTF">2024-11-07T15:22:00Z</dcterms:created>
  <dcterms:modified xsi:type="dcterms:W3CDTF">2024-12-07T13:55:46Z</dcterms:modified>
</cp:coreProperties>
</file>