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868"/>
        <w:pBdr/>
        <w:spacing w:after="0" w:afterAutospacing="0" w:before="0" w:beforeAutospacing="0"/>
        <w:ind w:left="566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p>
      <w:pPr>
        <w:pStyle w:val="868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Додаток </w:t>
      </w:r>
      <w:r/>
    </w:p>
    <w:p>
      <w:pPr>
        <w:pStyle w:val="865"/>
        <w:pBdr/>
        <w:spacing w:after="0" w:afterAutospacing="0" w:before="0" w:beforeAutospacing="0"/>
        <w:ind w:left="5669"/>
        <w:jc w:val="both"/>
        <w:rPr/>
      </w:pPr>
      <w:r>
        <w:rPr>
          <w:color w:val="000000"/>
          <w:sz w:val="28"/>
          <w:szCs w:val="28"/>
        </w:rPr>
        <w:t xml:space="preserve">до рішення 5</w:t>
      </w:r>
      <w:r>
        <w:rPr>
          <w:color w:val="000000"/>
          <w:sz w:val="28"/>
          <w:szCs w:val="28"/>
          <w:lang w:val="uk-UA"/>
        </w:rPr>
        <w:t xml:space="preserve">5</w:t>
      </w:r>
      <w:r>
        <w:rPr>
          <w:color w:val="000000"/>
          <w:sz w:val="28"/>
          <w:szCs w:val="28"/>
        </w:rPr>
        <w:t xml:space="preserve"> сесії Менської міської ради 8 скликання 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rPr>
          <w:color w:val="000000"/>
          <w:sz w:val="28"/>
          <w:szCs w:val="28"/>
        </w:rPr>
        <w:t xml:space="preserve">2</w:t>
      </w:r>
      <w:r>
        <w:rPr>
          <w:color w:val="000000"/>
          <w:sz w:val="28"/>
          <w:szCs w:val="28"/>
        </w:rPr>
        <w:t xml:space="preserve">1 </w:t>
      </w:r>
      <w:r>
        <w:rPr>
          <w:color w:val="000000"/>
          <w:sz w:val="28"/>
          <w:szCs w:val="28"/>
          <w:lang w:val="uk-UA"/>
        </w:rPr>
        <w:t xml:space="preserve">листопада</w:t>
      </w:r>
      <w:r>
        <w:rPr>
          <w:color w:val="000000"/>
          <w:sz w:val="28"/>
          <w:szCs w:val="28"/>
        </w:rPr>
        <w:t xml:space="preserve"> 2024 року № 647</w:t>
      </w:r>
      <w:r/>
    </w:p>
    <w:p>
      <w:pPr>
        <w:pStyle w:val="865"/>
        <w:pBdr/>
        <w:spacing w:after="0" w:afterAutospacing="0" w:before="0" w:beforeAutospacing="0"/>
        <w:ind w:left="5669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ПЕРЕЛІК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rPr>
          <w:b/>
          <w:bCs/>
          <w:color w:val="000000"/>
          <w:sz w:val="28"/>
          <w:szCs w:val="28"/>
        </w:rPr>
        <w:t xml:space="preserve">земельних ділянок та умови продажу права оренди земельних ділянок, які виставляються на земельні торги (аукціон) окремими лотами</w:t>
      </w:r>
      <w:r/>
    </w:p>
    <w:p>
      <w:pPr>
        <w:pStyle w:val="865"/>
        <w:pBdr/>
        <w:spacing w:after="0" w:afterAutospacing="0" w:before="0" w:beforeAutospacing="0"/>
        <w:ind/>
        <w:jc w:val="center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1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1,8133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840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</w:rPr>
        <w:t xml:space="preserve">0:0</w:t>
      </w:r>
      <w:r>
        <w:rPr>
          <w:color w:val="000000"/>
          <w:sz w:val="28"/>
          <w:szCs w:val="28"/>
          <w:lang w:val="uk-UA"/>
        </w:rPr>
        <w:t xml:space="preserve">4</w:t>
      </w:r>
      <w:r>
        <w:rPr>
          <w:color w:val="000000"/>
          <w:sz w:val="28"/>
          <w:szCs w:val="28"/>
        </w:rPr>
        <w:t xml:space="preserve">:000:0</w:t>
      </w:r>
      <w:r>
        <w:rPr>
          <w:color w:val="000000"/>
          <w:sz w:val="28"/>
          <w:szCs w:val="28"/>
          <w:lang w:val="uk-UA"/>
        </w:rPr>
        <w:t xml:space="preserve">242</w:t>
      </w:r>
      <w:r>
        <w:rPr>
          <w:color w:val="000000"/>
          <w:sz w:val="28"/>
          <w:szCs w:val="28"/>
        </w:rPr>
        <w:t xml:space="preserve">, цільове призначення – для ведення товарного сільськогосподарського виробництва.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за межами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Покровське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50182,70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5018,27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5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2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7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0,3090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840</w:t>
      </w:r>
      <w:r>
        <w:rPr>
          <w:color w:val="000000"/>
          <w:sz w:val="28"/>
          <w:szCs w:val="28"/>
          <w:lang w:val="uk-UA"/>
        </w:rPr>
        <w:t xml:space="preserve">0</w:t>
      </w:r>
      <w:r>
        <w:rPr>
          <w:color w:val="000000"/>
          <w:sz w:val="28"/>
          <w:szCs w:val="28"/>
          <w:lang w:val="uk-UA"/>
        </w:rPr>
        <w:t xml:space="preserve">1</w:t>
      </w:r>
      <w:r>
        <w:rPr>
          <w:color w:val="000000"/>
          <w:sz w:val="28"/>
          <w:szCs w:val="28"/>
        </w:rPr>
        <w:t xml:space="preserve">:01:001:0</w:t>
      </w:r>
      <w:r>
        <w:rPr>
          <w:color w:val="000000"/>
          <w:sz w:val="28"/>
          <w:szCs w:val="28"/>
          <w:lang w:val="uk-UA"/>
        </w:rPr>
        <w:t xml:space="preserve">246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іншого сільськогосподарського призначення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с</w:t>
      </w:r>
      <w:r>
        <w:rPr>
          <w:color w:val="000000"/>
          <w:sz w:val="28"/>
          <w:szCs w:val="28"/>
          <w:lang w:eastAsia="ar-SA"/>
        </w:rPr>
        <w:t xml:space="preserve">. </w:t>
      </w:r>
      <w:r>
        <w:rPr>
          <w:color w:val="000000"/>
          <w:sz w:val="28"/>
          <w:szCs w:val="28"/>
          <w:lang w:val="uk-UA" w:eastAsia="ar-SA"/>
        </w:rPr>
        <w:t xml:space="preserve">Покровське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8457,48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845,75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( 10%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b/>
          <w:bCs/>
          <w:color w:val="000000"/>
          <w:sz w:val="28"/>
          <w:szCs w:val="28"/>
        </w:rPr>
        <w:t xml:space="preserve">Лот № </w:t>
      </w:r>
      <w:r>
        <w:rPr>
          <w:b/>
          <w:bCs/>
          <w:color w:val="000000"/>
          <w:sz w:val="28"/>
          <w:szCs w:val="28"/>
          <w:lang w:val="uk-UA"/>
        </w:rPr>
        <w:t xml:space="preserve">3</w:t>
      </w:r>
      <w:r>
        <w:rPr>
          <w:b/>
          <w:bCs/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color w:val="000000"/>
          <w:sz w:val="28"/>
          <w:szCs w:val="28"/>
        </w:rPr>
        <w:t xml:space="preserve">Право оренди (річна орендна плата) на </w:t>
      </w:r>
      <w:r>
        <w:rPr>
          <w:color w:val="000000"/>
          <w:sz w:val="28"/>
          <w:szCs w:val="28"/>
          <w:lang w:val="uk-UA"/>
        </w:rPr>
        <w:t xml:space="preserve">10</w:t>
      </w:r>
      <w:r>
        <w:rPr>
          <w:color w:val="000000"/>
          <w:sz w:val="28"/>
          <w:szCs w:val="28"/>
        </w:rPr>
        <w:t xml:space="preserve"> років земельної ділянки  </w:t>
      </w:r>
      <w:r>
        <w:rPr>
          <w:color w:val="000000"/>
          <w:sz w:val="28"/>
          <w:lang w:val="uk-UA" w:eastAsia="ar-SA"/>
        </w:rPr>
        <w:t xml:space="preserve">площею </w:t>
      </w:r>
      <w:r>
        <w:rPr>
          <w:color w:val="000000"/>
          <w:sz w:val="28"/>
          <w:szCs w:val="28"/>
          <w:lang w:val="uk-UA" w:eastAsia="ar-SA"/>
        </w:rPr>
        <w:t xml:space="preserve">0,0126</w:t>
      </w:r>
      <w:r>
        <w:rPr>
          <w:color w:val="000000"/>
          <w:sz w:val="28"/>
          <w:szCs w:val="28"/>
          <w:lang w:val="uk-UA" w:eastAsia="ar-SA"/>
        </w:rPr>
        <w:t xml:space="preserve"> га,</w:t>
      </w:r>
      <w:r>
        <w:rPr>
          <w:color w:val="000000"/>
          <w:sz w:val="28"/>
          <w:szCs w:val="28"/>
          <w:lang w:val="uk-UA" w:eastAsia="ar-SA"/>
        </w:rPr>
        <w:t xml:space="preserve"> </w:t>
      </w:r>
      <w:r>
        <w:rPr>
          <w:color w:val="000000"/>
          <w:sz w:val="28"/>
          <w:szCs w:val="28"/>
          <w:lang w:val="uk-UA"/>
        </w:rPr>
        <w:t xml:space="preserve">кадастровий № 74230</w:t>
      </w:r>
      <w:r>
        <w:rPr>
          <w:color w:val="000000"/>
          <w:sz w:val="28"/>
          <w:szCs w:val="28"/>
          <w:lang w:val="uk-UA"/>
        </w:rPr>
        <w:t xml:space="preserve">10100</w:t>
      </w:r>
      <w:r>
        <w:rPr>
          <w:color w:val="000000"/>
          <w:sz w:val="28"/>
          <w:szCs w:val="28"/>
        </w:rPr>
        <w:t xml:space="preserve">:01:00</w:t>
      </w:r>
      <w:r>
        <w:rPr>
          <w:color w:val="000000"/>
          <w:sz w:val="28"/>
          <w:szCs w:val="28"/>
          <w:lang w:val="uk-UA"/>
        </w:rPr>
        <w:t xml:space="preserve">3</w:t>
      </w:r>
      <w:r>
        <w:rPr>
          <w:color w:val="000000"/>
          <w:sz w:val="28"/>
          <w:szCs w:val="28"/>
        </w:rPr>
        <w:t xml:space="preserve">:</w:t>
      </w:r>
      <w:r>
        <w:rPr>
          <w:color w:val="000000"/>
          <w:sz w:val="28"/>
          <w:szCs w:val="28"/>
          <w:lang w:val="uk-UA"/>
        </w:rPr>
        <w:t xml:space="preserve">1305</w:t>
      </w:r>
      <w:r>
        <w:rPr>
          <w:color w:val="000000"/>
          <w:sz w:val="28"/>
          <w:szCs w:val="28"/>
        </w:rPr>
        <w:t xml:space="preserve">, цільове призначення – для </w:t>
      </w:r>
      <w:r>
        <w:rPr>
          <w:color w:val="000000"/>
          <w:sz w:val="28"/>
          <w:szCs w:val="28"/>
          <w:lang w:val="uk-UA"/>
        </w:rPr>
        <w:t xml:space="preserve">будівництва та обслуговування будівель торгівлі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Місце розташування: Чернігівська обл., </w:t>
      </w:r>
      <w:r>
        <w:rPr>
          <w:color w:val="000000"/>
          <w:sz w:val="28"/>
          <w:szCs w:val="28"/>
          <w:lang w:val="uk-UA"/>
        </w:rPr>
        <w:t xml:space="preserve">в</w:t>
      </w:r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 w:eastAsia="ar-SA"/>
        </w:rPr>
        <w:t xml:space="preserve">м. Мена, по вул. Шевченка</w:t>
      </w:r>
      <w:r>
        <w:rPr>
          <w:color w:val="000000"/>
          <w:sz w:val="28"/>
          <w:szCs w:val="28"/>
        </w:rPr>
        <w:t xml:space="preserve">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Нормативна грошова оцінка земельної ділянки становить </w:t>
      </w:r>
      <w:r>
        <w:rPr>
          <w:b/>
          <w:bCs/>
          <w:color w:val="000000"/>
          <w:sz w:val="28"/>
          <w:szCs w:val="28"/>
          <w:lang w:val="uk-UA"/>
        </w:rPr>
        <w:t xml:space="preserve">49205,50</w:t>
      </w:r>
      <w:r>
        <w:rPr>
          <w:color w:val="000000"/>
          <w:sz w:val="28"/>
          <w:szCs w:val="28"/>
        </w:rPr>
        <w:t xml:space="preserve"> грн.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Стартова ціна лоту - річна орендна плата: </w:t>
      </w:r>
      <w:r>
        <w:rPr>
          <w:b/>
          <w:bCs/>
          <w:color w:val="000000"/>
          <w:sz w:val="28"/>
          <w:szCs w:val="28"/>
          <w:lang w:val="uk-UA"/>
        </w:rPr>
        <w:t xml:space="preserve">5904,66</w:t>
      </w:r>
      <w:r>
        <w:rPr>
          <w:color w:val="000000"/>
          <w:sz w:val="28"/>
          <w:szCs w:val="28"/>
        </w:rPr>
        <w:t xml:space="preserve"> </w:t>
      </w:r>
      <w:r>
        <w:rPr>
          <w:b/>
          <w:bCs/>
          <w:color w:val="000000"/>
          <w:sz w:val="28"/>
          <w:szCs w:val="28"/>
        </w:rPr>
        <w:t xml:space="preserve">грн., без ПДВ</w:t>
      </w:r>
      <w:r>
        <w:rPr>
          <w:color w:val="000000"/>
          <w:sz w:val="28"/>
          <w:szCs w:val="28"/>
        </w:rPr>
        <w:t xml:space="preserve"> ( 1</w:t>
      </w:r>
      <w:r>
        <w:rPr>
          <w:color w:val="000000"/>
          <w:sz w:val="28"/>
          <w:szCs w:val="28"/>
          <w:lang w:val="uk-UA"/>
        </w:rPr>
        <w:t xml:space="preserve">2</w:t>
      </w:r>
      <w:r>
        <w:rPr>
          <w:color w:val="000000"/>
          <w:sz w:val="28"/>
          <w:szCs w:val="28"/>
        </w:rPr>
        <w:t xml:space="preserve">% від нормативної грошової оцінки земельної ділянки).</w:t>
      </w:r>
      <w:r>
        <w:rPr>
          <w:color w:val="000000"/>
          <w:sz w:val="28"/>
          <w:szCs w:val="28"/>
          <w:lang w:val="uk-UA"/>
        </w:rPr>
      </w:r>
      <w:r>
        <w:rPr>
          <w:color w:val="000000"/>
          <w:sz w:val="28"/>
          <w:szCs w:val="28"/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rPr>
          <w:color w:val="000000"/>
          <w:sz w:val="28"/>
          <w:szCs w:val="28"/>
        </w:rPr>
        <w:t xml:space="preserve">Сума витрат на підготовку лота до продажу становить </w:t>
      </w:r>
      <w:r>
        <w:rPr>
          <w:color w:val="000000"/>
          <w:sz w:val="28"/>
          <w:szCs w:val="28"/>
          <w:lang w:val="uk-UA"/>
        </w:rPr>
        <w:t xml:space="preserve">7</w:t>
      </w:r>
      <w:r>
        <w:rPr>
          <w:b/>
          <w:bCs/>
          <w:color w:val="000000"/>
          <w:sz w:val="28"/>
          <w:szCs w:val="28"/>
        </w:rPr>
        <w:t xml:space="preserve">000,00 грн</w:t>
      </w:r>
      <w:r>
        <w:rPr>
          <w:color w:val="000000"/>
          <w:sz w:val="28"/>
          <w:szCs w:val="28"/>
        </w:rPr>
        <w:t xml:space="preserve">. та підлягає відшкодуванню переможцем аукціону.</w:t>
      </w:r>
      <w:r/>
    </w:p>
    <w:p>
      <w:pPr>
        <w:pStyle w:val="865"/>
        <w:pBdr/>
        <w:spacing w:after="0" w:afterAutospacing="0" w:before="0" w:beforeAutospacing="0"/>
        <w:ind w:firstLine="567"/>
        <w:jc w:val="both"/>
        <w:rPr>
          <w:lang w:val="uk-UA"/>
        </w:rPr>
      </w:pPr>
      <w:r>
        <w:rPr>
          <w:lang w:val="uk-UA"/>
        </w:rPr>
      </w:r>
      <w:r>
        <w:rPr>
          <w:lang w:val="uk-UA"/>
        </w:rPr>
      </w:r>
      <w:r>
        <w:rPr>
          <w:lang w:val="uk-UA"/>
        </w:rPr>
      </w:r>
    </w:p>
    <w:p>
      <w:pPr>
        <w:pStyle w:val="865"/>
        <w:pBdr/>
        <w:spacing w:after="0" w:afterAutospacing="0" w:before="0" w:beforeAutospacing="0"/>
        <w:ind w:firstLine="567"/>
        <w:jc w:val="both"/>
        <w:rPr/>
      </w:pPr>
      <w:r>
        <w:t xml:space="preserve"> </w:t>
      </w:r>
      <w:r/>
    </w:p>
    <w:p>
      <w:pPr>
        <w:pStyle w:val="865"/>
        <w:pBdr/>
        <w:spacing w:after="0" w:afterAutospacing="0" w:before="0" w:beforeAutospacing="0"/>
        <w:ind/>
        <w:jc w:val="both"/>
        <w:rPr/>
      </w:pPr>
      <w:r>
        <w:rPr>
          <w:color w:val="000000"/>
          <w:sz w:val="28"/>
          <w:szCs w:val="28"/>
        </w:rPr>
        <w:t xml:space="preserve">Начальник відділу земельних</w:t>
      </w:r>
      <w:r/>
    </w:p>
    <w:p>
      <w:pPr>
        <w:pStyle w:val="865"/>
        <w:pBdr/>
        <w:tabs>
          <w:tab w:val="left" w:leader="none" w:pos="6803"/>
        </w:tabs>
        <w:spacing w:after="0" w:afterAutospacing="0" w:before="0" w:beforeAutospacing="0"/>
        <w:ind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відносин, АПК та екології</w:t>
        <w:tab/>
        <w:t xml:space="preserve">Оксана СКИРТА</w:t>
      </w:r>
      <w:r>
        <w:rPr>
          <w:color w:val="000000"/>
          <w:sz w:val="28"/>
          <w:szCs w:val="28"/>
        </w:rPr>
      </w:r>
      <w:r>
        <w:rPr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284" w:right="851" w:bottom="397" w:left="1134" w:header="709" w:footer="709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Mangal">
    <w:panose1 w:val="02040503050406030204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1068"/>
      </w:pPr>
      <w:rPr>
        <w:rFonts w:cs="Times New Roman"/>
        <w:b w:val="0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788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508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3228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948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668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388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6108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828"/>
      </w:pPr>
      <w:rPr>
        <w:rFonts w:cs="Times New Roman"/>
      </w:rPr>
      <w:start w:val="1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405"/>
      </w:pPr>
      <w:rPr>
        <w:rFonts w:cs="Times New Roman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125"/>
      </w:pPr>
      <w:rPr>
        <w:rFonts w:cs="Times New Roman"/>
      </w:rPr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45"/>
      </w:pPr>
      <w:rPr>
        <w:rFonts w:cs="Times New Roman"/>
      </w:rPr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65"/>
      </w:pPr>
      <w:rPr>
        <w:rFonts w:cs="Times New Roman"/>
      </w:rPr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85"/>
      </w:pPr>
      <w:rPr>
        <w:rFonts w:cs="Times New Roman"/>
      </w:rPr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005"/>
      </w:pPr>
      <w:rPr>
        <w:rFonts w:cs="Times New Roman"/>
      </w:rPr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725"/>
      </w:pPr>
      <w:rPr>
        <w:rFonts w:cs="Times New Roman"/>
      </w:rPr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45"/>
      </w:pPr>
      <w:rPr>
        <w:rFonts w:cs="Times New Roman"/>
      </w:rPr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65"/>
      </w:pPr>
      <w:rPr>
        <w:rFonts w:cs="Times New Roman"/>
      </w:rPr>
      <w:start w:val="1"/>
      <w:suff w:val="tab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Times New Roman" w:cs="Calibri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67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3">
    <w:name w:val="Table Grid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4">
    <w:name w:val="Table Grid Light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5">
    <w:name w:val="Plain Table 1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6">
    <w:name w:val="Plain Table 2"/>
    <w:basedOn w:val="67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7">
    <w:name w:val="Plain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8">
    <w:name w:val="Plain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9">
    <w:name w:val="Plain Table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0">
    <w:name w:val="Grid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1">
    <w:name w:val="Grid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2">
    <w:name w:val="Grid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3">
    <w:name w:val="Grid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4">
    <w:name w:val="Grid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5">
    <w:name w:val="Grid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6">
    <w:name w:val="Grid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7">
    <w:name w:val="Grid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8">
    <w:name w:val="Grid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9">
    <w:name w:val="Grid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0">
    <w:name w:val="Grid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1">
    <w:name w:val="Grid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2">
    <w:name w:val="Grid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3">
    <w:name w:val="Grid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4">
    <w:name w:val="Grid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5">
    <w:name w:val="Grid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6">
    <w:name w:val="Grid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7">
    <w:name w:val="Grid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8">
    <w:name w:val="Grid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9">
    <w:name w:val="Grid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0">
    <w:name w:val="Grid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1">
    <w:name w:val="Grid Table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2">
    <w:name w:val="Grid Table 4 - Accent 1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3">
    <w:name w:val="Grid Table 4 - Accent 2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4">
    <w:name w:val="Grid Table 4 - Accent 3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5">
    <w:name w:val="Grid Table 4 - Accent 4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6">
    <w:name w:val="Grid Table 4 - Accent 5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7">
    <w:name w:val="Grid Table 4 - Accent 6"/>
    <w:basedOn w:val="67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8">
    <w:name w:val="Grid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9">
    <w:name w:val="Grid Table 5 Dark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0">
    <w:name w:val="Grid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1">
    <w:name w:val="Grid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2">
    <w:name w:val="Grid Table 5 Dark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3">
    <w:name w:val="Grid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4">
    <w:name w:val="Grid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5">
    <w:name w:val="Grid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6">
    <w:name w:val="Grid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7">
    <w:name w:val="Grid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8">
    <w:name w:val="Grid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19">
    <w:name w:val="Grid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0">
    <w:name w:val="Grid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1">
    <w:name w:val="Grid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22">
    <w:name w:val="Grid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Grid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Grid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Grid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Grid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Grid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Grid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List Table 1 Light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List Table 1 Light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List Table 1 Light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List Table 1 Light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List Table 1 Light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List Table 1 Light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List Table 1 Light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List Table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List Table 2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List Table 2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List Table 2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List Table 2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List Table 2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List Table 2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List Table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List Table 3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List Table 3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List Table 3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List Table 3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List Table 3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List Table 3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List Table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List Table 4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List Table 4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List Table 4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List Table 4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List Table 4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List Table 4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List Table 5 Dark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List Table 5 Dark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List Table 5 Dark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List Table 5 Dark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List Table 5 Dark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List Table 5 Dark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List Table 5 Dark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List Table 6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List Table 6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List Table 6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List Table 6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List Table 6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List Table 6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List Table 6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List Table 7 Colorful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List Table 7 Colorful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List Table 7 Colorful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List Table 7 Colorful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List Table 7 Colorful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List Table 7 Colorful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List Table 7 Colorful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Bordered &amp; Lined - Accent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Bordered &amp; Lined - Accent 1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Bordered &amp; Lined - Accent 2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Bordered &amp; Lined - Accent 3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Bordered &amp; Lined - Accent 4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Bordered &amp; Lined - Accent 5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Bordered &amp; Lined - Accent 6"/>
    <w:basedOn w:val="67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Bordered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Bordered - Accent 1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Bordered - Accent 2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Bordered - Accent 3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Bordered - Accent 4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Bordered - Accent 5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Bordered - Accent 6"/>
    <w:basedOn w:val="67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99">
    <w:name w:val="Heading 1"/>
    <w:basedOn w:val="851"/>
    <w:next w:val="851"/>
    <w:link w:val="810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paragraph" w:styleId="800">
    <w:name w:val="Heading 2"/>
    <w:basedOn w:val="851"/>
    <w:next w:val="851"/>
    <w:link w:val="811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01">
    <w:name w:val="Heading 3"/>
    <w:basedOn w:val="851"/>
    <w:next w:val="851"/>
    <w:link w:val="812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02">
    <w:name w:val="Heading 4"/>
    <w:basedOn w:val="851"/>
    <w:next w:val="851"/>
    <w:link w:val="813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03">
    <w:name w:val="Heading 5"/>
    <w:basedOn w:val="851"/>
    <w:next w:val="851"/>
    <w:link w:val="814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04">
    <w:name w:val="Heading 6"/>
    <w:basedOn w:val="851"/>
    <w:next w:val="851"/>
    <w:link w:val="815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05">
    <w:name w:val="Heading 7"/>
    <w:basedOn w:val="851"/>
    <w:next w:val="851"/>
    <w:link w:val="816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06">
    <w:name w:val="Heading 8"/>
    <w:basedOn w:val="851"/>
    <w:next w:val="851"/>
    <w:link w:val="817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07">
    <w:name w:val="Heading 9"/>
    <w:basedOn w:val="851"/>
    <w:next w:val="851"/>
    <w:link w:val="818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08" w:default="1">
    <w:name w:val="Default Paragraph Font"/>
    <w:uiPriority w:val="1"/>
    <w:semiHidden/>
    <w:unhideWhenUsed/>
    <w:pPr>
      <w:pBdr/>
      <w:spacing/>
      <w:ind/>
    </w:pPr>
  </w:style>
  <w:style w:type="numbering" w:styleId="809" w:default="1">
    <w:name w:val="No List"/>
    <w:uiPriority w:val="99"/>
    <w:semiHidden/>
    <w:unhideWhenUsed/>
    <w:pPr>
      <w:pBdr/>
      <w:spacing/>
      <w:ind/>
    </w:pPr>
  </w:style>
  <w:style w:type="character" w:styleId="810">
    <w:name w:val="Heading 1 Char"/>
    <w:basedOn w:val="808"/>
    <w:link w:val="79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11">
    <w:name w:val="Heading 2 Char"/>
    <w:basedOn w:val="808"/>
    <w:link w:val="80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12">
    <w:name w:val="Heading 3 Char"/>
    <w:basedOn w:val="808"/>
    <w:link w:val="80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13">
    <w:name w:val="Heading 4 Char"/>
    <w:basedOn w:val="808"/>
    <w:link w:val="80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14">
    <w:name w:val="Heading 5 Char"/>
    <w:basedOn w:val="808"/>
    <w:link w:val="80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15">
    <w:name w:val="Heading 6 Char"/>
    <w:basedOn w:val="808"/>
    <w:link w:val="80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16">
    <w:name w:val="Heading 7 Char"/>
    <w:basedOn w:val="808"/>
    <w:link w:val="80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17">
    <w:name w:val="Heading 8 Char"/>
    <w:basedOn w:val="808"/>
    <w:link w:val="80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18">
    <w:name w:val="Heading 9 Char"/>
    <w:basedOn w:val="808"/>
    <w:link w:val="80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19">
    <w:name w:val="Title"/>
    <w:basedOn w:val="851"/>
    <w:next w:val="851"/>
    <w:link w:val="820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20">
    <w:name w:val="Title Char"/>
    <w:basedOn w:val="808"/>
    <w:link w:val="819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21">
    <w:name w:val="Subtitle"/>
    <w:basedOn w:val="851"/>
    <w:next w:val="851"/>
    <w:link w:val="822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22">
    <w:name w:val="Subtitle Char"/>
    <w:basedOn w:val="808"/>
    <w:link w:val="821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23">
    <w:name w:val="Quote"/>
    <w:basedOn w:val="851"/>
    <w:next w:val="851"/>
    <w:link w:val="824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24">
    <w:name w:val="Quote Char"/>
    <w:basedOn w:val="808"/>
    <w:link w:val="823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25">
    <w:name w:val="List Paragraph"/>
    <w:basedOn w:val="851"/>
    <w:uiPriority w:val="34"/>
    <w:qFormat/>
    <w:pPr>
      <w:pBdr/>
      <w:spacing/>
      <w:ind w:left="720"/>
      <w:contextualSpacing w:val="true"/>
    </w:pPr>
  </w:style>
  <w:style w:type="character" w:styleId="826">
    <w:name w:val="Intense Emphasis"/>
    <w:basedOn w:val="808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27">
    <w:name w:val="Intense Quote"/>
    <w:basedOn w:val="851"/>
    <w:next w:val="851"/>
    <w:link w:val="82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28">
    <w:name w:val="Intense Quote Char"/>
    <w:basedOn w:val="808"/>
    <w:link w:val="827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29">
    <w:name w:val="Intense Reference"/>
    <w:basedOn w:val="808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30">
    <w:name w:val="No Spacing"/>
    <w:basedOn w:val="851"/>
    <w:uiPriority w:val="1"/>
    <w:qFormat/>
    <w:pPr>
      <w:pBdr/>
      <w:spacing w:after="0" w:line="240" w:lineRule="auto"/>
      <w:ind/>
    </w:pPr>
  </w:style>
  <w:style w:type="character" w:styleId="831">
    <w:name w:val="Subtle Emphasis"/>
    <w:basedOn w:val="80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32">
    <w:name w:val="Emphasis"/>
    <w:basedOn w:val="808"/>
    <w:uiPriority w:val="20"/>
    <w:qFormat/>
    <w:pPr>
      <w:pBdr/>
      <w:spacing/>
      <w:ind/>
    </w:pPr>
    <w:rPr>
      <w:i/>
      <w:iCs/>
    </w:rPr>
  </w:style>
  <w:style w:type="character" w:styleId="833">
    <w:name w:val="Strong"/>
    <w:basedOn w:val="808"/>
    <w:uiPriority w:val="22"/>
    <w:qFormat/>
    <w:pPr>
      <w:pBdr/>
      <w:spacing/>
      <w:ind/>
    </w:pPr>
    <w:rPr>
      <w:b/>
      <w:bCs/>
    </w:rPr>
  </w:style>
  <w:style w:type="character" w:styleId="834">
    <w:name w:val="Subtle Reference"/>
    <w:basedOn w:val="80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35">
    <w:name w:val="Book Title"/>
    <w:basedOn w:val="80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36">
    <w:name w:val="Header"/>
    <w:basedOn w:val="851"/>
    <w:link w:val="837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7">
    <w:name w:val="Header Char"/>
    <w:basedOn w:val="808"/>
    <w:link w:val="836"/>
    <w:uiPriority w:val="99"/>
    <w:pPr>
      <w:pBdr/>
      <w:spacing/>
      <w:ind/>
    </w:pPr>
  </w:style>
  <w:style w:type="paragraph" w:styleId="838">
    <w:name w:val="Footer"/>
    <w:basedOn w:val="851"/>
    <w:link w:val="839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39">
    <w:name w:val="Footer Char"/>
    <w:basedOn w:val="808"/>
    <w:link w:val="838"/>
    <w:uiPriority w:val="99"/>
    <w:pPr>
      <w:pBdr/>
      <w:spacing/>
      <w:ind/>
    </w:pPr>
  </w:style>
  <w:style w:type="paragraph" w:styleId="840">
    <w:name w:val="Caption"/>
    <w:basedOn w:val="851"/>
    <w:next w:val="851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41">
    <w:name w:val="footnote text"/>
    <w:basedOn w:val="851"/>
    <w:link w:val="842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2">
    <w:name w:val="Footnote Text Char"/>
    <w:basedOn w:val="808"/>
    <w:link w:val="841"/>
    <w:uiPriority w:val="99"/>
    <w:semiHidden/>
    <w:pPr>
      <w:pBdr/>
      <w:spacing/>
      <w:ind/>
    </w:pPr>
    <w:rPr>
      <w:sz w:val="20"/>
      <w:szCs w:val="20"/>
    </w:rPr>
  </w:style>
  <w:style w:type="character" w:styleId="843">
    <w:name w:val="foot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paragraph" w:styleId="844">
    <w:name w:val="endnote text"/>
    <w:basedOn w:val="851"/>
    <w:link w:val="845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45">
    <w:name w:val="Endnote Text Char"/>
    <w:basedOn w:val="808"/>
    <w:link w:val="844"/>
    <w:uiPriority w:val="99"/>
    <w:semiHidden/>
    <w:pPr>
      <w:pBdr/>
      <w:spacing/>
      <w:ind/>
    </w:pPr>
    <w:rPr>
      <w:sz w:val="20"/>
      <w:szCs w:val="20"/>
    </w:rPr>
  </w:style>
  <w:style w:type="character" w:styleId="846">
    <w:name w:val="endnote reference"/>
    <w:basedOn w:val="808"/>
    <w:uiPriority w:val="99"/>
    <w:semiHidden/>
    <w:unhideWhenUsed/>
    <w:pPr>
      <w:pBdr/>
      <w:spacing/>
      <w:ind/>
    </w:pPr>
    <w:rPr>
      <w:vertAlign w:val="superscript"/>
    </w:rPr>
  </w:style>
  <w:style w:type="character" w:styleId="847">
    <w:name w:val="Hyperlink"/>
    <w:basedOn w:val="808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48">
    <w:name w:val="FollowedHyperlink"/>
    <w:basedOn w:val="808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49">
    <w:name w:val="TOC Heading"/>
    <w:uiPriority w:val="39"/>
    <w:unhideWhenUsed/>
    <w:pPr>
      <w:pBdr/>
      <w:spacing/>
      <w:ind/>
    </w:pPr>
  </w:style>
  <w:style w:type="paragraph" w:styleId="850">
    <w:name w:val="table of figures"/>
    <w:basedOn w:val="851"/>
    <w:next w:val="851"/>
    <w:uiPriority w:val="99"/>
    <w:unhideWhenUsed/>
    <w:pPr>
      <w:pBdr/>
      <w:spacing w:after="0" w:afterAutospacing="0"/>
      <w:ind/>
    </w:pPr>
  </w:style>
  <w:style w:type="paragraph" w:styleId="851" w:default="1">
    <w:name w:val="Normal"/>
    <w:next w:val="851"/>
    <w:link w:val="851"/>
    <w:pPr>
      <w:pBdr/>
      <w:spacing/>
      <w:ind/>
    </w:pPr>
    <w:rPr>
      <w:rFonts w:ascii="Times New Roman" w:hAnsi="Times New Roman" w:cs="Times New Roman"/>
      <w:lang w:val="uk-UA" w:eastAsia="ru-RU" w:bidi="ar-SA"/>
    </w:rPr>
  </w:style>
  <w:style w:type="paragraph" w:styleId="852">
    <w:name w:val="Заголовок 1"/>
    <w:basedOn w:val="851"/>
    <w:next w:val="851"/>
    <w:link w:val="856"/>
    <w:pPr>
      <w:keepNext w:val="true"/>
      <w:pBdr/>
      <w:spacing/>
      <w:ind/>
      <w:jc w:val="center"/>
      <w:outlineLvl w:val="0"/>
    </w:pPr>
    <w:rPr>
      <w:b/>
      <w:sz w:val="32"/>
    </w:rPr>
  </w:style>
  <w:style w:type="character" w:styleId="853">
    <w:name w:val="Основной шрифт абзаца"/>
    <w:next w:val="853"/>
    <w:link w:val="851"/>
    <w:semiHidden/>
    <w:pPr>
      <w:pBdr/>
      <w:spacing/>
      <w:ind/>
    </w:pPr>
  </w:style>
  <w:style w:type="table" w:styleId="854">
    <w:name w:val="Обычная таблица"/>
    <w:next w:val="854"/>
    <w:link w:val="851"/>
    <w:semiHidden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5">
    <w:name w:val="Нет списка"/>
    <w:next w:val="855"/>
    <w:link w:val="851"/>
    <w:semiHidden/>
    <w:pPr>
      <w:pBdr/>
      <w:spacing/>
      <w:ind/>
    </w:pPr>
  </w:style>
  <w:style w:type="character" w:styleId="856">
    <w:name w:val="Знак Знак1"/>
    <w:next w:val="856"/>
    <w:link w:val="852"/>
    <w:pPr>
      <w:pBdr/>
      <w:spacing/>
      <w:ind/>
    </w:pPr>
    <w:rPr>
      <w:rFonts w:ascii="Times New Roman" w:hAnsi="Times New Roman"/>
      <w:b/>
      <w:sz w:val="20"/>
      <w:lang w:val="uk-UA" w:eastAsia="en-US"/>
    </w:rPr>
  </w:style>
  <w:style w:type="paragraph" w:styleId="857">
    <w:name w:val="Стандартный HTML"/>
    <w:basedOn w:val="851"/>
    <w:next w:val="857"/>
    <w:link w:val="858"/>
    <w:pPr>
      <w:pBdr/>
      <w:tabs>
        <w:tab w:val="left" w:leader="none" w:pos="916"/>
        <w:tab w:val="left" w:leader="none" w:pos="1832"/>
        <w:tab w:val="left" w:leader="none" w:pos="2748"/>
        <w:tab w:val="left" w:leader="none" w:pos="3664"/>
        <w:tab w:val="left" w:leader="none" w:pos="4580"/>
        <w:tab w:val="left" w:leader="none" w:pos="5496"/>
        <w:tab w:val="left" w:leader="none" w:pos="6412"/>
        <w:tab w:val="left" w:leader="none" w:pos="7328"/>
        <w:tab w:val="left" w:leader="none" w:pos="8244"/>
        <w:tab w:val="left" w:leader="none" w:pos="9160"/>
        <w:tab w:val="left" w:leader="none" w:pos="10076"/>
        <w:tab w:val="left" w:leader="none" w:pos="10992"/>
        <w:tab w:val="left" w:leader="none" w:pos="11908"/>
        <w:tab w:val="left" w:leader="none" w:pos="12824"/>
        <w:tab w:val="left" w:leader="none" w:pos="13740"/>
        <w:tab w:val="left" w:leader="none" w:pos="14656"/>
      </w:tabs>
      <w:spacing/>
      <w:ind/>
    </w:pPr>
    <w:rPr>
      <w:rFonts w:ascii="Courier New" w:hAnsi="Courier New" w:cs="Courier New"/>
      <w:lang w:val="ru-RU"/>
    </w:rPr>
  </w:style>
  <w:style w:type="character" w:styleId="858">
    <w:name w:val="Знак Знак"/>
    <w:next w:val="858"/>
    <w:link w:val="857"/>
    <w:pPr>
      <w:pBdr/>
      <w:spacing/>
      <w:ind/>
    </w:pPr>
    <w:rPr>
      <w:rFonts w:ascii="Courier New" w:hAnsi="Courier New"/>
    </w:rPr>
  </w:style>
  <w:style w:type="paragraph" w:styleId="859">
    <w:name w:val="Титулка"/>
    <w:basedOn w:val="851"/>
    <w:next w:val="859"/>
    <w:link w:val="851"/>
    <w:pPr>
      <w:widowControl w:val="false"/>
      <w:pBdr/>
      <w:spacing w:after="120"/>
      <w:ind/>
      <w:jc w:val="center"/>
    </w:pPr>
    <w:rPr>
      <w:rFonts w:cs="Mangal"/>
      <w:b/>
      <w:sz w:val="24"/>
      <w:szCs w:val="24"/>
      <w:lang w:eastAsia="hi-IN" w:bidi="hi-IN"/>
    </w:rPr>
  </w:style>
  <w:style w:type="character" w:styleId="860">
    <w:name w:val="rvts23"/>
    <w:next w:val="860"/>
    <w:link w:val="851"/>
    <w:pPr>
      <w:pBdr/>
      <w:spacing/>
      <w:ind/>
    </w:pPr>
  </w:style>
  <w:style w:type="paragraph" w:styleId="861">
    <w:name w:val="Абзац списка"/>
    <w:basedOn w:val="851"/>
    <w:next w:val="861"/>
    <w:link w:val="851"/>
    <w:pPr>
      <w:pBdr/>
      <w:spacing/>
      <w:ind w:left="720"/>
      <w:contextualSpacing w:val="true"/>
    </w:pPr>
    <w:rPr>
      <w:sz w:val="22"/>
      <w:lang w:eastAsia="ar-SA"/>
    </w:rPr>
  </w:style>
  <w:style w:type="character" w:styleId="862">
    <w:name w:val="Строгий"/>
    <w:basedOn w:val="853"/>
    <w:next w:val="862"/>
    <w:link w:val="851"/>
    <w:pPr>
      <w:pBdr/>
      <w:spacing/>
      <w:ind/>
    </w:pPr>
    <w:rPr>
      <w:rFonts w:cs="Times New Roman"/>
      <w:b/>
    </w:rPr>
  </w:style>
  <w:style w:type="character" w:styleId="863">
    <w:name w:val="rvts0"/>
    <w:basedOn w:val="853"/>
    <w:next w:val="863"/>
    <w:link w:val="851"/>
    <w:pPr>
      <w:pBdr/>
      <w:spacing/>
      <w:ind/>
    </w:pPr>
    <w:rPr>
      <w:rFonts w:cs="Times New Roman"/>
    </w:rPr>
  </w:style>
  <w:style w:type="character" w:styleId="864">
    <w:name w:val="docdata,docy,v5,1846,bqiaagaaeyqcaaagiaiaaammbqaabtqfaaaaaaaaaaaaaaaaaaaaaaaaaaaaaaaaaaaaaaaaaaaaaaaaaaaaaaaaaaaaaaaaaaaaaaaaaaaaaaaaaaaaaaaaaaaaaaaaaaaaaaaaaaaaaaaaaaaaaaaaaaaaaaaaaaaaaaaaaaaaaaaaaaaaaaaaaaaaaaaaaaaaaaaaaaaaaaaaaaaaaaaaaaaaaaaaaaaaaaaa"/>
    <w:basedOn w:val="853"/>
    <w:next w:val="864"/>
    <w:link w:val="851"/>
    <w:pPr>
      <w:pBdr/>
      <w:spacing/>
      <w:ind/>
    </w:pPr>
  </w:style>
  <w:style w:type="paragraph" w:styleId="865">
    <w:name w:val="Обычный (веб)"/>
    <w:basedOn w:val="851"/>
    <w:next w:val="865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character" w:styleId="866">
    <w:name w:val="markedcontent"/>
    <w:basedOn w:val="853"/>
    <w:next w:val="866"/>
    <w:link w:val="851"/>
    <w:pPr>
      <w:pBdr/>
      <w:spacing/>
      <w:ind/>
    </w:pPr>
    <w:rPr>
      <w:rFonts w:ascii="Times New Roman" w:hAnsi="Times New Roman" w:cs="Times New Roman"/>
    </w:rPr>
  </w:style>
  <w:style w:type="paragraph" w:styleId="867">
    <w:name w:val="4934,bqiaagaaeyqcaaagiaiaaaneeaaabwwqaaaaaaaaaaaaaaaaaaaaaaaaaaaaaaaaaaaaaaaaaaaaaaaaaaaaaaaaaaaaaaaaaaaaaaaaaaaaaaaaaaaaaaaaaaaaaaaaaaaaaaaaaaaaaaaaaaaaaaaaaaaaaaaaaaaaaaaaaaaaaaaaaaaaaaaaaaaaaaaaaaaaaaaaaaaaaaaaaaaaaaaaaaaaaaaaaaaaaaaa"/>
    <w:basedOn w:val="851"/>
    <w:next w:val="867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  <w:style w:type="paragraph" w:styleId="868">
    <w:name w:val="9895,bqiaagaaeyqcaaagiaiaaao/iwaabc0jaaaaaaaaaaaaaaaaaaaaaaaaaaaaaaaaaaaaaaaaaaaaaaaaaaaaaaaaaaaaaaaaaaaaaaaaaaaaaaaaaaaaaaaaaaaaaaaaaaaaaaaaaaaaaaaaaaaaaaaaaaaaaaaaaaaaaaaaaaaaaaaaaaaaaaaaaaaaaaaaaaaaaaaaaaaaaaaaaaaaaaaaaaaaaaaaaaaaaaaa"/>
    <w:basedOn w:val="851"/>
    <w:next w:val="868"/>
    <w:link w:val="851"/>
    <w:pPr>
      <w:pBdr/>
      <w:spacing w:after="100" w:afterAutospacing="1" w:before="100" w:beforeAutospacing="1"/>
      <w:ind/>
    </w:pPr>
    <w:rPr>
      <w:sz w:val="24"/>
      <w:szCs w:val="24"/>
      <w:lang w:val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Reanimator Extreme Edition</Company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creator>Администратор</dc:creator>
  <cp:lastModifiedBy>СТАЛЬНИЧЕНКО Юрій Валерійович</cp:lastModifiedBy>
  <cp:revision>67</cp:revision>
  <dcterms:created xsi:type="dcterms:W3CDTF">2023-11-20T09:54:00Z</dcterms:created>
  <dcterms:modified xsi:type="dcterms:W3CDTF">2024-11-22T08:16:32Z</dcterms:modified>
  <cp:version>730895</cp:version>
</cp:coreProperties>
</file>