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3"/>
        <w:pBdr/>
        <w:spacing w:after="0" w:afterAutospacing="0" w:before="0" w:beforeAutospacing="0"/>
        <w:ind/>
        <w:jc w:val="center"/>
        <w:rPr>
          <w:b/>
          <w:bCs/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</w:rPr>
        <w:t xml:space="preserve">МЕНСЬКА МІСЬКА РАДА</w:t>
      </w:r>
      <w:r>
        <w:rPr>
          <w:b/>
          <w:bCs/>
          <w:color w:val="000000"/>
          <w:sz w:val="28"/>
          <w:szCs w:val="28"/>
          <w:highlight w:val="none"/>
        </w:rPr>
      </w:r>
      <w:r>
        <w:rPr>
          <w:b/>
          <w:bCs/>
          <w:color w:val="000000"/>
          <w:sz w:val="28"/>
          <w:szCs w:val="28"/>
          <w:highlight w:val="none"/>
        </w:rPr>
      </w:r>
    </w:p>
    <w:p>
      <w:pPr>
        <w:pStyle w:val="913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п’ятдесят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  <w:lang w:val="uk-UA"/>
        </w:rPr>
        <w:t xml:space="preserve">п’ята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сесія восьмого скликання)</w:t>
      </w:r>
      <w:r>
        <w:t xml:space="preserve"> </w:t>
      </w:r>
      <w:r/>
    </w:p>
    <w:p>
      <w:pPr>
        <w:pStyle w:val="913"/>
        <w:widowControl w:val="false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901"/>
        <w:pBdr/>
        <w:tabs>
          <w:tab w:val="left" w:leader="none" w:pos="4535"/>
          <w:tab w:val="left" w:leader="none" w:pos="7370"/>
        </w:tabs>
        <w:spacing w:after="0" w:afterAutospacing="0" w:before="0" w:beforeAutospacing="0"/>
        <w:ind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</w:rPr>
        <w:t xml:space="preserve">2</w:t>
      </w:r>
      <w:r>
        <w:rPr>
          <w:color w:val="000000"/>
          <w:sz w:val="28"/>
          <w:szCs w:val="28"/>
        </w:rPr>
        <w:t xml:space="preserve">1 </w:t>
      </w:r>
      <w:r>
        <w:rPr>
          <w:color w:val="000000"/>
          <w:sz w:val="28"/>
          <w:szCs w:val="28"/>
        </w:rPr>
        <w:t xml:space="preserve">листопада</w:t>
      </w:r>
      <w:r>
        <w:rPr>
          <w:color w:val="000000"/>
          <w:sz w:val="28"/>
          <w:szCs w:val="28"/>
        </w:rPr>
        <w:t xml:space="preserve"> 2024</w:t>
      </w:r>
      <w:r>
        <w:rPr>
          <w:color w:val="000000"/>
          <w:sz w:val="28"/>
          <w:szCs w:val="28"/>
        </w:rPr>
        <w:t xml:space="preserve"> року</w:t>
        <w:tab/>
      </w:r>
      <w:r>
        <w:rPr>
          <w:color w:val="000000"/>
          <w:sz w:val="28"/>
          <w:szCs w:val="28"/>
        </w:rPr>
        <w:t xml:space="preserve">м. Мена</w:t>
        <w:tab/>
      </w:r>
      <w:r>
        <w:rPr>
          <w:color w:val="000000"/>
          <w:sz w:val="28"/>
          <w:szCs w:val="28"/>
        </w:rPr>
        <w:t xml:space="preserve">№ 647</w:t>
      </w:r>
      <w:r>
        <w:t xml:space="preserve"> </w:t>
      </w:r>
      <w:r>
        <w:rPr>
          <w:color w:val="000000"/>
          <w:sz w:val="28"/>
          <w:szCs w:val="28"/>
          <w:lang w:eastAsia="uk-UA"/>
        </w:rPr>
      </w:r>
      <w:r>
        <w:rPr>
          <w:color w:val="000000"/>
          <w:sz w:val="28"/>
          <w:szCs w:val="28"/>
          <w:lang w:eastAsia="uk-UA"/>
        </w:rPr>
      </w:r>
    </w:p>
    <w:p>
      <w:pPr>
        <w:pStyle w:val="901"/>
        <w:pBdr/>
        <w:spacing w:after="0" w:afterAutospacing="0" w:before="0" w:beforeAutospacing="0"/>
        <w:ind w:firstLine="709"/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6"/>
          <w:szCs w:val="16"/>
        </w:rPr>
      </w:r>
      <w:r>
        <w:rPr>
          <w:sz w:val="12"/>
          <w:szCs w:val="12"/>
        </w:rPr>
      </w:r>
    </w:p>
    <w:p>
      <w:pPr>
        <w:pStyle w:val="901"/>
        <w:pBdr/>
        <w:tabs>
          <w:tab w:val="left" w:leader="none" w:pos="3851"/>
        </w:tabs>
        <w:spacing w:after="0" w:afterAutospacing="0" w:before="0" w:beforeAutospacing="0"/>
        <w:ind w:right="5528" w:firstLine="0" w:left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</w:rPr>
        <w:t xml:space="preserve">проведення земельних </w:t>
      </w:r>
      <w:r>
        <w:rPr>
          <w:b/>
          <w:bCs/>
          <w:sz w:val="28"/>
          <w:szCs w:val="28"/>
        </w:rPr>
      </w:r>
      <w:r>
        <w:rPr>
          <w:b/>
          <w:sz w:val="28"/>
          <w:szCs w:val="28"/>
        </w:rPr>
        <w:t xml:space="preserve">торгів (аукціону)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</w:r>
      <w:r>
        <w:rPr>
          <w:b/>
          <w:bCs/>
          <w:sz w:val="28"/>
          <w:szCs w:val="28"/>
          <w:lang w:val="ru-RU"/>
        </w:rPr>
      </w:r>
      <w:r>
        <w:rPr>
          <w:b/>
          <w:bCs/>
          <w:sz w:val="28"/>
          <w:szCs w:val="28"/>
        </w:rPr>
      </w:r>
    </w:p>
    <w:p>
      <w:pPr>
        <w:pStyle w:val="901"/>
        <w:suppressLineNumbers w:val="false"/>
        <w:pBdr/>
        <w:spacing w:after="0" w:afterAutospacing="0" w:before="0" w:before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t xml:space="preserve">З метою наповнення місцевого бюджету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та керуючись ст.ст. 12, </w:t>
      </w:r>
      <w:r>
        <w:rPr>
          <w:sz w:val="28"/>
          <w:szCs w:val="28"/>
        </w:rPr>
        <w:t xml:space="preserve">134-139</w:t>
      </w:r>
      <w:r>
        <w:rPr>
          <w:sz w:val="28"/>
          <w:szCs w:val="28"/>
        </w:rPr>
        <w:t xml:space="preserve"> Земельного кодексу України, ст. 26</w:t>
      </w:r>
      <w:r>
        <w:rPr>
          <w:sz w:val="28"/>
          <w:szCs w:val="28"/>
        </w:rPr>
        <w:t xml:space="preserve">, 34</w:t>
      </w:r>
      <w:r>
        <w:rPr>
          <w:sz w:val="28"/>
          <w:szCs w:val="28"/>
        </w:rPr>
        <w:t xml:space="preserve"> Закону України «Про місцеве самоврядування в Україні», Законом України «Про </w:t>
      </w:r>
      <w:r>
        <w:rPr>
          <w:sz w:val="28"/>
          <w:szCs w:val="28"/>
        </w:rPr>
        <w:t xml:space="preserve">оренду землі</w:t>
      </w:r>
      <w:r>
        <w:rPr>
          <w:sz w:val="28"/>
          <w:szCs w:val="28"/>
        </w:rPr>
        <w:t xml:space="preserve">», Менська міська рада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1"/>
        <w:pBdr/>
        <w:spacing w:after="0" w:afterAutospacing="0" w:before="0" w:beforeAutospacing="0"/>
        <w:ind/>
        <w:rPr>
          <w:sz w:val="28"/>
          <w:szCs w:val="28"/>
        </w:rPr>
      </w:pPr>
      <w:r>
        <w:rPr>
          <w:sz w:val="28"/>
          <w:szCs w:val="28"/>
        </w:rPr>
        <w:t xml:space="preserve">ВИРІШИЛА: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1"/>
        <w:suppressLineNumbers w:val="false"/>
        <w:pBdr/>
        <w:spacing w:after="0" w:afterAutospacing="0" w:before="0" w:beforeAutospacing="0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Включити в перелік земельних ділянок комунальної власності, які виставляються на земельні торги окремими лотами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земельні ділянки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комунальної </w:t>
      </w:r>
      <w:r>
        <w:rPr>
          <w:sz w:val="28"/>
          <w:szCs w:val="28"/>
        </w:rPr>
        <w:t xml:space="preserve">власності для продажу права оренди на земельних торгах у формі аукціону</w:t>
      </w:r>
      <w:r>
        <w:rPr>
          <w:sz w:val="28"/>
          <w:szCs w:val="28"/>
        </w:rPr>
        <w:t xml:space="preserve">:</w:t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901"/>
        <w:suppressLineNumbers w:val="false"/>
        <w:pBdr/>
        <w:spacing w:after="0" w:afterAutospacing="0" w:before="0" w:beforeAutospacing="0"/>
        <w:ind w:firstLine="0"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>
        <w:rPr>
          <w:sz w:val="28"/>
          <w:szCs w:val="28"/>
        </w:rPr>
        <w:t xml:space="preserve">дл</w:t>
      </w:r>
      <w:r>
        <w:rPr>
          <w:sz w:val="28"/>
          <w:szCs w:val="28"/>
        </w:rPr>
        <w:t xml:space="preserve">я веде</w:t>
      </w:r>
      <w:r>
        <w:rPr>
          <w:sz w:val="28"/>
          <w:szCs w:val="28"/>
        </w:rPr>
        <w:t xml:space="preserve">ння товарного сільськогосподарського виробництва, </w:t>
      </w:r>
      <w:r>
        <w:rPr>
          <w:color w:val="000000"/>
          <w:sz w:val="28"/>
        </w:rPr>
        <w:t xml:space="preserve">площею </w:t>
      </w:r>
      <w:r>
        <w:rPr>
          <w:color w:val="000000"/>
          <w:sz w:val="28"/>
          <w:szCs w:val="28"/>
        </w:rPr>
        <w:t xml:space="preserve">1,8133 га, кадастровий № 7423084000:04:000:0242, за межами с. Покровське</w:t>
      </w:r>
      <w:r>
        <w:rPr>
          <w:color w:val="000000"/>
          <w:sz w:val="28"/>
          <w:szCs w:val="28"/>
        </w:rPr>
        <w:t xml:space="preserve">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01"/>
        <w:suppressLineNumbers w:val="false"/>
        <w:pBdr/>
        <w:spacing w:after="0" w:afterAutospacing="0" w:before="0" w:beforeAutospacing="0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 xml:space="preserve">для іншого сільськогосподарського призначення, </w:t>
      </w:r>
      <w:r>
        <w:rPr>
          <w:color w:val="000000"/>
          <w:sz w:val="28"/>
        </w:rPr>
        <w:t xml:space="preserve">площею </w:t>
      </w:r>
      <w:r>
        <w:rPr>
          <w:color w:val="000000"/>
          <w:sz w:val="28"/>
          <w:szCs w:val="28"/>
        </w:rPr>
        <w:t xml:space="preserve">0,3090 га, кадастровий № 7423084001:01:001:0246, в с. Покровське;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01"/>
        <w:suppressLineNumbers w:val="false"/>
        <w:pBdr/>
        <w:spacing w:after="0" w:afterAutospacing="0" w:before="0" w:beforeAutospacing="0"/>
        <w:ind w:firstLine="0"/>
        <w:jc w:val="both"/>
        <w:rPr>
          <w:color w:val="000000"/>
          <w:sz w:val="28"/>
          <w:szCs w:val="28"/>
          <w:lang w:val="ru-RU"/>
        </w:rPr>
      </w:pPr>
      <w:r>
        <w:rPr>
          <w:sz w:val="28"/>
          <w:szCs w:val="28"/>
        </w:rPr>
        <w:t xml:space="preserve">- для буд</w:t>
      </w:r>
      <w:r>
        <w:rPr>
          <w:sz w:val="28"/>
          <w:szCs w:val="28"/>
        </w:rPr>
        <w:t xml:space="preserve">івництва та обслуговування будівель торгівлі, </w:t>
      </w:r>
      <w:r>
        <w:rPr>
          <w:color w:val="000000"/>
          <w:sz w:val="28"/>
        </w:rPr>
        <w:t xml:space="preserve">площею </w:t>
      </w:r>
      <w:r>
        <w:rPr>
          <w:color w:val="000000"/>
          <w:sz w:val="28"/>
          <w:szCs w:val="28"/>
        </w:rPr>
        <w:t xml:space="preserve">0,0126 га, кадастров</w:t>
      </w:r>
      <w:r>
        <w:rPr>
          <w:color w:val="000000"/>
          <w:sz w:val="28"/>
          <w:szCs w:val="28"/>
        </w:rPr>
        <w:t xml:space="preserve">ий № 7423010100:01:003:1305, в м. Мена, по вул. Шевченка</w:t>
      </w:r>
      <w:r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ru-RU"/>
        </w:rPr>
      </w:r>
      <w:r>
        <w:rPr>
          <w:color w:val="000000"/>
          <w:sz w:val="28"/>
          <w:szCs w:val="28"/>
          <w:lang w:val="ru-RU"/>
        </w:rPr>
      </w:r>
    </w:p>
    <w:p>
      <w:pPr>
        <w:pBdr/>
        <w:spacing w:after="0" w:afterAutospacing="0" w:before="0" w:before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Вс</w:t>
      </w:r>
      <w:r>
        <w:rPr>
          <w:sz w:val="28"/>
          <w:szCs w:val="28"/>
        </w:rPr>
        <w:t xml:space="preserve">тановити умови продажу земельних</w:t>
      </w:r>
      <w:r>
        <w:rPr>
          <w:sz w:val="28"/>
          <w:szCs w:val="28"/>
        </w:rPr>
        <w:t xml:space="preserve"> ділян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к комунальної власності на </w:t>
      </w:r>
      <w:r>
        <w:rPr>
          <w:sz w:val="28"/>
          <w:szCs w:val="28"/>
        </w:rPr>
        <w:t xml:space="preserve">земельних </w:t>
      </w:r>
      <w:r>
        <w:rPr>
          <w:sz w:val="28"/>
          <w:szCs w:val="28"/>
        </w:rPr>
        <w:t xml:space="preserve">торгах</w:t>
      </w:r>
      <w:r>
        <w:rPr>
          <w:sz w:val="28"/>
          <w:szCs w:val="28"/>
        </w:rPr>
        <w:t xml:space="preserve"> у формі аукціону згідно Додатку, та визначити, що: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 w:after="0" w:afterAutospacing="0" w:before="0" w:beforeAutospacing="0"/>
        <w:ind w:firstLine="0"/>
        <w:jc w:val="both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- С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артовий розмір річної орендної плати</w:t>
      </w:r>
      <w:r>
        <w:rPr>
          <w:sz w:val="28"/>
          <w:szCs w:val="28"/>
        </w:rPr>
        <w:t xml:space="preserve"> земель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сільськогосподарського призначення</w:t>
      </w:r>
      <w:r>
        <w:rPr>
          <w:sz w:val="28"/>
          <w:szCs w:val="28"/>
        </w:rPr>
        <w:t xml:space="preserve"> 10 (десять) % (відсотків) від нормативної грошової оцінки земельної ділянки.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 w:after="0" w:afterAutospacing="0" w:before="0" w:beforeAutospacing="0"/>
        <w:ind w:firstLine="0"/>
        <w:jc w:val="both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- Стартовий розмір річної орендної плати земель не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сільськогосподарського призначення 12 (дванадцять) % (відсотків) від нормативної грошової оцінки земельної ділянки.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 w:after="0" w:afterAutospacing="0" w:before="0" w:beforeAutospacing="0"/>
        <w:ind w:firstLine="0"/>
        <w:jc w:val="both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- Гарантійний внесок у розмірі 30 (тридцять) % (відсотків) стартового розміру річної орендної плати.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 w:after="0" w:afterAutospacing="0" w:before="0" w:beforeAutospacing="0"/>
        <w:ind w:firstLine="0"/>
        <w:jc w:val="both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Гарантійний внесок, сплачений переможцем земельних торгів, зарахувати до купіве</w:t>
      </w:r>
      <w:r>
        <w:rPr>
          <w:sz w:val="28"/>
          <w:szCs w:val="28"/>
        </w:rPr>
        <w:t xml:space="preserve">льної ціни.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 w:after="0" w:afterAutospacing="0" w:before="0" w:beforeAutospacing="0"/>
        <w:ind w:firstLine="0"/>
        <w:jc w:val="both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- Стр</w:t>
      </w:r>
      <w:r>
        <w:rPr>
          <w:sz w:val="28"/>
          <w:szCs w:val="28"/>
        </w:rPr>
        <w:t xml:space="preserve">ок дії договору оренди землі</w:t>
      </w:r>
      <w:r>
        <w:rPr>
          <w:sz w:val="28"/>
          <w:szCs w:val="28"/>
        </w:rPr>
        <w:t xml:space="preserve"> сільськогосподарського призначення</w:t>
      </w:r>
      <w:r>
        <w:rPr>
          <w:sz w:val="28"/>
          <w:szCs w:val="28"/>
        </w:rPr>
        <w:t xml:space="preserve"> 7 (сім) років</w:t>
      </w:r>
      <w:r>
        <w:rPr>
          <w:sz w:val="28"/>
          <w:szCs w:val="28"/>
          <w:lang w:val="ru-RU"/>
        </w:rPr>
        <w:t xml:space="preserve">.</w:t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Bdr/>
        <w:spacing w:after="0" w:afterAutospacing="0" w:before="0" w:beforeAutospacing="0"/>
        <w:ind w:firstLine="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- Ст</w:t>
      </w:r>
      <w:r>
        <w:rPr>
          <w:sz w:val="28"/>
          <w:szCs w:val="28"/>
        </w:rPr>
        <w:t xml:space="preserve">ро</w:t>
      </w:r>
      <w:r>
        <w:rPr>
          <w:sz w:val="28"/>
          <w:szCs w:val="28"/>
        </w:rPr>
        <w:t xml:space="preserve">к дії договору оренди землі не сільськогосподарського призначення 10 (десять) років</w:t>
      </w:r>
      <w:r>
        <w:rPr>
          <w:sz w:val="28"/>
          <w:szCs w:val="28"/>
          <w:lang w:val="ru-RU"/>
        </w:rPr>
        <w:t xml:space="preserve">.</w:t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Bdr/>
        <w:spacing w:after="0" w:afterAutospacing="0" w:before="0" w:beforeAutospacing="0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</w:t>
      </w:r>
      <w:r>
        <w:rPr>
          <w:sz w:val="28"/>
          <w:szCs w:val="28"/>
          <w:lang w:val="ru-RU"/>
        </w:rPr>
        <w:t xml:space="preserve"> Відділу земельних відносин агропромислового розвитку та екології Менської міської</w:t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  <w:t xml:space="preserve"> ради опублікувати в електронній торговій системі оголошення про проведення земельних торгів.</w:t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ru-RU"/>
        </w:rPr>
      </w:pP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Контроль </w:t>
      </w:r>
      <w:r>
        <w:rPr>
          <w:color w:val="000000"/>
          <w:sz w:val="28"/>
          <w:szCs w:val="28"/>
        </w:rPr>
        <w:t xml:space="preserve">за виконанням рішення покласти </w:t>
      </w:r>
      <w:r>
        <w:rPr>
          <w:color w:val="000000"/>
          <w:sz w:val="28"/>
        </w:rPr>
        <w:t xml:space="preserve">на заступника міського голови з питань </w:t>
      </w:r>
      <w:r>
        <w:rPr>
          <w:sz w:val="28"/>
          <w:szCs w:val="28"/>
        </w:rPr>
        <w:t xml:space="preserve">діяльності </w:t>
      </w:r>
      <w:r>
        <w:rPr>
          <w:color w:val="000000"/>
          <w:sz w:val="28"/>
        </w:rPr>
        <w:t xml:space="preserve">виконавчих органів ради С.М.Гаєвого</w:t>
      </w:r>
      <w:r>
        <w:rPr>
          <w:color w:val="000000"/>
          <w:sz w:val="28"/>
        </w:rPr>
        <w:t xml:space="preserve">.</w:t>
      </w:r>
      <w:r>
        <w:rPr>
          <w:color w:val="000000"/>
          <w:sz w:val="28"/>
          <w:szCs w:val="28"/>
          <w:lang w:val="ru-RU"/>
        </w:rPr>
      </w:r>
      <w:r>
        <w:rPr>
          <w:color w:val="000000"/>
          <w:sz w:val="28"/>
          <w:szCs w:val="28"/>
          <w:lang w:val="ru-RU"/>
        </w:rPr>
      </w:r>
    </w:p>
    <w:p>
      <w:pPr>
        <w:pStyle w:val="913"/>
        <w:pBdr/>
        <w:tabs>
          <w:tab w:val="left" w:leader="none" w:pos="6520"/>
        </w:tabs>
        <w:spacing w:after="0" w:afterAutospacing="0" w:before="204" w:beforeAutospacing="0"/>
        <w:ind/>
        <w:jc w:val="both"/>
        <w:rPr>
          <w:sz w:val="28"/>
          <w:szCs w:val="28"/>
        </w:rPr>
      </w:pPr>
      <w:r>
        <w:rPr>
          <w:sz w:val="28"/>
          <w:szCs w:val="28"/>
          <w:lang w:eastAsia="hi-IN" w:bidi="hi-IN"/>
        </w:rPr>
        <w:t xml:space="preserve">Секретар ради</w:t>
        <w:tab/>
      </w:r>
      <w:r>
        <w:rPr>
          <w:sz w:val="28"/>
          <w:szCs w:val="28"/>
          <w:lang w:val="uk-UA" w:eastAsia="hi-IN" w:bidi="hi-IN"/>
        </w:rPr>
        <w:t xml:space="preserve">Юрій СТАЛЬНИЧЕНКО</w:t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6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88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6"/>
      <w:pBdr/>
      <w:spacing/>
      <w:ind/>
      <w:jc w:val="center"/>
      <w:rPr/>
    </w:pPr>
    <w:r>
      <w:rPr>
        <w:b/>
        <w:sz w:val="28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21208" cy="74066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68925665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521208" cy="74066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1.04pt;height:58.32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Table Grid"/>
    <w:basedOn w:val="72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Table Grid Light"/>
    <w:basedOn w:val="72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Plain Table 1"/>
    <w:basedOn w:val="72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2"/>
    <w:basedOn w:val="72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Plain Table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1 Light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2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3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1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 - Accent 2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3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4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5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4 - Accent 6"/>
    <w:basedOn w:val="72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5 Dark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6 Colorful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7 Colorful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1 Light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2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3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4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5 Dark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6 Colorful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7 Colorful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1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 2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3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4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5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ned - Accent 6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1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 2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3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4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5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&amp; Lined - Accent 6"/>
    <w:basedOn w:val="72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1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- Accent 2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3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4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5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- Accent 6"/>
    <w:basedOn w:val="72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0">
    <w:name w:val="Heading 1"/>
    <w:basedOn w:val="901"/>
    <w:next w:val="901"/>
    <w:link w:val="86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51">
    <w:name w:val="Heading 2"/>
    <w:basedOn w:val="901"/>
    <w:next w:val="901"/>
    <w:link w:val="86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52">
    <w:name w:val="Heading 3"/>
    <w:basedOn w:val="901"/>
    <w:next w:val="901"/>
    <w:link w:val="86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53">
    <w:name w:val="Heading 4"/>
    <w:basedOn w:val="901"/>
    <w:next w:val="901"/>
    <w:link w:val="86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4">
    <w:name w:val="Heading 5"/>
    <w:basedOn w:val="901"/>
    <w:next w:val="901"/>
    <w:link w:val="86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5">
    <w:name w:val="Heading 6"/>
    <w:basedOn w:val="901"/>
    <w:next w:val="901"/>
    <w:link w:val="86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6">
    <w:name w:val="Heading 7"/>
    <w:basedOn w:val="901"/>
    <w:next w:val="901"/>
    <w:link w:val="86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7">
    <w:name w:val="Heading 8"/>
    <w:basedOn w:val="901"/>
    <w:next w:val="901"/>
    <w:link w:val="86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8">
    <w:name w:val="Heading 9"/>
    <w:basedOn w:val="901"/>
    <w:next w:val="901"/>
    <w:link w:val="86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9" w:default="1">
    <w:name w:val="Default Paragraph Font"/>
    <w:uiPriority w:val="1"/>
    <w:semiHidden/>
    <w:unhideWhenUsed/>
    <w:pPr>
      <w:pBdr/>
      <w:spacing/>
      <w:ind/>
    </w:pPr>
  </w:style>
  <w:style w:type="numbering" w:styleId="860" w:default="1">
    <w:name w:val="No List"/>
    <w:uiPriority w:val="99"/>
    <w:semiHidden/>
    <w:unhideWhenUsed/>
    <w:pPr>
      <w:pBdr/>
      <w:spacing/>
      <w:ind/>
    </w:pPr>
  </w:style>
  <w:style w:type="character" w:styleId="861">
    <w:name w:val="Heading 1 Char"/>
    <w:basedOn w:val="859"/>
    <w:link w:val="85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2">
    <w:name w:val="Heading 2 Char"/>
    <w:basedOn w:val="859"/>
    <w:link w:val="85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3">
    <w:name w:val="Heading 3 Char"/>
    <w:basedOn w:val="859"/>
    <w:link w:val="85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4">
    <w:name w:val="Heading 4 Char"/>
    <w:basedOn w:val="859"/>
    <w:link w:val="85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5">
    <w:name w:val="Heading 5 Char"/>
    <w:basedOn w:val="859"/>
    <w:link w:val="85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6">
    <w:name w:val="Heading 6 Char"/>
    <w:basedOn w:val="859"/>
    <w:link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7">
    <w:name w:val="Heading 7 Char"/>
    <w:basedOn w:val="859"/>
    <w:link w:val="85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8">
    <w:name w:val="Heading 8 Char"/>
    <w:basedOn w:val="859"/>
    <w:link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9">
    <w:name w:val="Heading 9 Char"/>
    <w:basedOn w:val="859"/>
    <w:link w:val="85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0">
    <w:name w:val="Title"/>
    <w:basedOn w:val="901"/>
    <w:next w:val="901"/>
    <w:link w:val="87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1">
    <w:name w:val="Title Char"/>
    <w:basedOn w:val="859"/>
    <w:link w:val="87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2">
    <w:name w:val="Subtitle"/>
    <w:basedOn w:val="901"/>
    <w:next w:val="901"/>
    <w:link w:val="87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3">
    <w:name w:val="Subtitle Char"/>
    <w:basedOn w:val="859"/>
    <w:link w:val="87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4">
    <w:name w:val="Quote"/>
    <w:basedOn w:val="901"/>
    <w:next w:val="901"/>
    <w:link w:val="87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5">
    <w:name w:val="Quote Char"/>
    <w:basedOn w:val="859"/>
    <w:link w:val="87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6">
    <w:name w:val="List Paragraph"/>
    <w:basedOn w:val="901"/>
    <w:uiPriority w:val="34"/>
    <w:qFormat/>
    <w:pPr>
      <w:pBdr/>
      <w:spacing/>
      <w:ind w:left="720"/>
      <w:contextualSpacing w:val="true"/>
    </w:pPr>
  </w:style>
  <w:style w:type="character" w:styleId="877">
    <w:name w:val="Intense Emphasis"/>
    <w:basedOn w:val="85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8">
    <w:name w:val="Intense Quote"/>
    <w:basedOn w:val="901"/>
    <w:next w:val="901"/>
    <w:link w:val="87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9">
    <w:name w:val="Intense Quote Char"/>
    <w:basedOn w:val="859"/>
    <w:link w:val="87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0">
    <w:name w:val="Intense Reference"/>
    <w:basedOn w:val="85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81">
    <w:name w:val="Subtle Emphasis"/>
    <w:basedOn w:val="85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2">
    <w:name w:val="Emphasis"/>
    <w:basedOn w:val="859"/>
    <w:uiPriority w:val="20"/>
    <w:qFormat/>
    <w:pPr>
      <w:pBdr/>
      <w:spacing/>
      <w:ind/>
    </w:pPr>
    <w:rPr>
      <w:i/>
      <w:iCs/>
    </w:rPr>
  </w:style>
  <w:style w:type="character" w:styleId="883">
    <w:name w:val="Strong"/>
    <w:basedOn w:val="859"/>
    <w:uiPriority w:val="22"/>
    <w:qFormat/>
    <w:pPr>
      <w:pBdr/>
      <w:spacing/>
      <w:ind/>
    </w:pPr>
    <w:rPr>
      <w:b/>
      <w:bCs/>
    </w:rPr>
  </w:style>
  <w:style w:type="character" w:styleId="884">
    <w:name w:val="Subtle Reference"/>
    <w:basedOn w:val="85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5">
    <w:name w:val="Book Title"/>
    <w:basedOn w:val="85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6">
    <w:name w:val="Header"/>
    <w:basedOn w:val="901"/>
    <w:link w:val="88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7">
    <w:name w:val="Header Char"/>
    <w:basedOn w:val="859"/>
    <w:link w:val="886"/>
    <w:uiPriority w:val="99"/>
    <w:pPr>
      <w:pBdr/>
      <w:spacing/>
      <w:ind/>
    </w:pPr>
  </w:style>
  <w:style w:type="paragraph" w:styleId="888">
    <w:name w:val="Footer"/>
    <w:basedOn w:val="901"/>
    <w:link w:val="8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9">
    <w:name w:val="Footer Char"/>
    <w:basedOn w:val="859"/>
    <w:link w:val="888"/>
    <w:uiPriority w:val="99"/>
    <w:pPr>
      <w:pBdr/>
      <w:spacing/>
      <w:ind/>
    </w:pPr>
  </w:style>
  <w:style w:type="paragraph" w:styleId="890">
    <w:name w:val="Caption"/>
    <w:basedOn w:val="901"/>
    <w:next w:val="90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1">
    <w:name w:val="footnote text"/>
    <w:basedOn w:val="901"/>
    <w:link w:val="89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2">
    <w:name w:val="Footnote Text Char"/>
    <w:basedOn w:val="859"/>
    <w:link w:val="891"/>
    <w:uiPriority w:val="99"/>
    <w:semiHidden/>
    <w:pPr>
      <w:pBdr/>
      <w:spacing/>
      <w:ind/>
    </w:pPr>
    <w:rPr>
      <w:sz w:val="20"/>
      <w:szCs w:val="20"/>
    </w:rPr>
  </w:style>
  <w:style w:type="character" w:styleId="893">
    <w:name w:val="footnote reference"/>
    <w:basedOn w:val="859"/>
    <w:uiPriority w:val="99"/>
    <w:semiHidden/>
    <w:unhideWhenUsed/>
    <w:pPr>
      <w:pBdr/>
      <w:spacing/>
      <w:ind/>
    </w:pPr>
    <w:rPr>
      <w:vertAlign w:val="superscript"/>
    </w:rPr>
  </w:style>
  <w:style w:type="paragraph" w:styleId="894">
    <w:name w:val="endnote text"/>
    <w:basedOn w:val="901"/>
    <w:link w:val="89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5">
    <w:name w:val="Endnote Text Char"/>
    <w:basedOn w:val="859"/>
    <w:link w:val="894"/>
    <w:uiPriority w:val="99"/>
    <w:semiHidden/>
    <w:pPr>
      <w:pBdr/>
      <w:spacing/>
      <w:ind/>
    </w:pPr>
    <w:rPr>
      <w:sz w:val="20"/>
      <w:szCs w:val="20"/>
    </w:rPr>
  </w:style>
  <w:style w:type="character" w:styleId="896">
    <w:name w:val="endnote reference"/>
    <w:basedOn w:val="859"/>
    <w:uiPriority w:val="99"/>
    <w:semiHidden/>
    <w:unhideWhenUsed/>
    <w:pPr>
      <w:pBdr/>
      <w:spacing/>
      <w:ind/>
    </w:pPr>
    <w:rPr>
      <w:vertAlign w:val="superscript"/>
    </w:rPr>
  </w:style>
  <w:style w:type="character" w:styleId="897">
    <w:name w:val="Hyperlink"/>
    <w:basedOn w:val="85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8">
    <w:name w:val="FollowedHyperlink"/>
    <w:basedOn w:val="85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9">
    <w:name w:val="TOC Heading"/>
    <w:uiPriority w:val="39"/>
    <w:unhideWhenUsed/>
    <w:pPr>
      <w:pBdr/>
      <w:spacing/>
      <w:ind/>
    </w:pPr>
  </w:style>
  <w:style w:type="paragraph" w:styleId="900">
    <w:name w:val="table of figures"/>
    <w:basedOn w:val="901"/>
    <w:next w:val="901"/>
    <w:uiPriority w:val="99"/>
    <w:unhideWhenUsed/>
    <w:pPr>
      <w:pBdr/>
      <w:spacing w:after="0" w:afterAutospacing="0"/>
      <w:ind/>
    </w:pPr>
  </w:style>
  <w:style w:type="paragraph" w:styleId="901" w:default="1">
    <w:name w:val="Normal"/>
    <w:next w:val="901"/>
    <w:link w:val="901"/>
    <w:pPr>
      <w:pBdr/>
      <w:spacing/>
      <w:ind/>
    </w:pPr>
    <w:rPr>
      <w:rFonts w:ascii="Times New Roman" w:hAnsi="Times New Roman"/>
      <w:lang w:val="uk-UA" w:eastAsia="ru-RU" w:bidi="ar-SA"/>
    </w:rPr>
  </w:style>
  <w:style w:type="paragraph" w:styleId="902">
    <w:name w:val="Заголовок 1"/>
    <w:basedOn w:val="901"/>
    <w:next w:val="901"/>
    <w:link w:val="906"/>
    <w:pPr>
      <w:keepNext w:val="true"/>
      <w:pBdr/>
      <w:spacing/>
      <w:ind/>
      <w:jc w:val="center"/>
      <w:outlineLvl w:val="0"/>
    </w:pPr>
    <w:rPr>
      <w:b/>
      <w:sz w:val="32"/>
    </w:rPr>
  </w:style>
  <w:style w:type="character" w:styleId="903">
    <w:name w:val="Основной шрифт абзаца"/>
    <w:next w:val="903"/>
    <w:link w:val="901"/>
    <w:semiHidden/>
    <w:pPr>
      <w:pBdr/>
      <w:spacing/>
      <w:ind/>
    </w:pPr>
  </w:style>
  <w:style w:type="table" w:styleId="904">
    <w:name w:val="Обычная таблица"/>
    <w:next w:val="904"/>
    <w:link w:val="901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5">
    <w:name w:val="Нет списка"/>
    <w:next w:val="905"/>
    <w:link w:val="901"/>
    <w:semiHidden/>
    <w:pPr>
      <w:pBdr/>
      <w:spacing/>
      <w:ind/>
    </w:pPr>
  </w:style>
  <w:style w:type="character" w:styleId="906">
    <w:name w:val="Знак Знак1"/>
    <w:basedOn w:val="903"/>
    <w:next w:val="906"/>
    <w:link w:val="902"/>
    <w:pPr>
      <w:pBdr/>
      <w:spacing/>
      <w:ind/>
    </w:pPr>
    <w:rPr>
      <w:rFonts w:ascii="Times New Roman" w:hAnsi="Times New Roman" w:eastAsia="Times New Roman" w:cs="Times New Roman"/>
      <w:b/>
      <w:sz w:val="20"/>
      <w:szCs w:val="20"/>
      <w:lang w:val="uk-UA" w:eastAsia="en-US"/>
    </w:rPr>
  </w:style>
  <w:style w:type="paragraph" w:styleId="907">
    <w:name w:val="Стандартный HTML"/>
    <w:basedOn w:val="901"/>
    <w:next w:val="907"/>
    <w:link w:val="908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character" w:styleId="908">
    <w:name w:val="Знак Знак"/>
    <w:basedOn w:val="903"/>
    <w:next w:val="908"/>
    <w:link w:val="907"/>
    <w:pPr>
      <w:pBdr/>
      <w:spacing/>
      <w:ind/>
    </w:pPr>
    <w:rPr>
      <w:rFonts w:ascii="Courier New" w:hAnsi="Courier New" w:eastAsia="Times New Roman" w:cs="Courier New"/>
    </w:rPr>
  </w:style>
  <w:style w:type="paragraph" w:styleId="909">
    <w:name w:val="Титулка"/>
    <w:basedOn w:val="901"/>
    <w:next w:val="909"/>
    <w:link w:val="901"/>
    <w:pPr>
      <w:widowControl w:val="false"/>
      <w:pBdr/>
      <w:spacing w:after="120"/>
      <w:ind/>
      <w:jc w:val="center"/>
    </w:pPr>
    <w:rPr>
      <w:rFonts w:cs="Mangal"/>
      <w:b/>
      <w:sz w:val="24"/>
      <w:szCs w:val="24"/>
      <w:lang w:eastAsia="hi-IN" w:bidi="hi-IN"/>
    </w:rPr>
  </w:style>
  <w:style w:type="character" w:styleId="910">
    <w:name w:val="wmi-callto"/>
    <w:basedOn w:val="903"/>
    <w:next w:val="910"/>
    <w:link w:val="901"/>
    <w:pPr>
      <w:pBdr/>
      <w:spacing/>
      <w:ind/>
    </w:pPr>
    <w:rPr>
      <w:rFonts w:cs="Times New Roman"/>
    </w:rPr>
  </w:style>
  <w:style w:type="paragraph" w:styleId="911">
    <w:name w:val="No Spacing"/>
    <w:next w:val="911"/>
    <w:link w:val="90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cs="Calibri"/>
      <w:sz w:val="22"/>
      <w:szCs w:val="22"/>
      <w:lang w:val="uk-UA" w:eastAsia="en-US" w:bidi="ar-SA"/>
    </w:rPr>
  </w:style>
  <w:style w:type="character" w:styleId="912">
    <w:name w:val="docdata,docy,v5,2412,bqiaagaaeyqcaaagiaiaaaombwaabzohaaaaaaaaaaaaaaaaaaaaaaaaaaaaaaaaaaaaaaaaaaaaaaaaaaaaaaaaaaaaaaaaaaaaaaaaaaaaaaaaaaaaaaaaaaaaaaaaaaaaaaaaaaaaaaaaaaaaaaaaaaaaaaaaaaaaaaaaaaaaaaaaaaaaaaaaaaaaaaaaaaaaaaaaaaaaaaaaaaaaaaaaaaaaaaaaaaaaaaa"/>
    <w:basedOn w:val="903"/>
    <w:next w:val="912"/>
    <w:link w:val="901"/>
    <w:pPr>
      <w:pBdr/>
      <w:spacing/>
      <w:ind/>
    </w:pPr>
    <w:rPr>
      <w:rFonts w:cs="Times New Roman"/>
    </w:rPr>
  </w:style>
  <w:style w:type="paragraph" w:styleId="913">
    <w:name w:val="Обычный (веб)"/>
    <w:basedOn w:val="901"/>
    <w:next w:val="913"/>
    <w:link w:val="901"/>
    <w:pPr>
      <w:pBdr/>
      <w:spacing w:after="100" w:afterAutospacing="1" w:before="100" w:beforeAutospacing="1"/>
      <w:ind/>
    </w:pPr>
    <w:rPr>
      <w:rFonts w:eastAsia="Times New Roman"/>
      <w:sz w:val="24"/>
      <w:szCs w:val="24"/>
      <w:lang w:val="ru-RU"/>
    </w:rPr>
  </w:style>
  <w:style w:type="paragraph" w:styleId="914">
    <w:name w:val="2363,bqiaagaaeyqcaaagiaiaaantbgaabwegaaaaaaaaaaaaaaaaaaaaaaaaaaaaaaaaaaaaaaaaaaaaaaaaaaaaaaaaaaaaaaaaaaaaaaaaaaaaaaaaaaaaaaaaaaaaaaaaaaaaaaaaaaaaaaaaaaaaaaaaaaaaaaaaaaaaaaaaaaaaaaaaaaaaaaaaaaaaaaaaaaaaaaaaaaaaaaaaaaaaaaaaaaaaaaaaaaaaaaaa"/>
    <w:basedOn w:val="901"/>
    <w:next w:val="914"/>
    <w:link w:val="901"/>
    <w:pPr>
      <w:pBdr/>
      <w:spacing w:after="100" w:afterAutospacing="1" w:before="100" w:beforeAutospacing="1"/>
      <w:ind/>
    </w:pPr>
    <w:rPr>
      <w:rFonts w:eastAsia="Times New Roman"/>
      <w:sz w:val="24"/>
      <w:szCs w:val="24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Reanimator Extreme Edition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СТАЛЬНИЧЕНКО Юрій Валерійович</cp:lastModifiedBy>
  <cp:revision>63</cp:revision>
  <dcterms:created xsi:type="dcterms:W3CDTF">2023-06-20T08:18:00Z</dcterms:created>
  <dcterms:modified xsi:type="dcterms:W3CDTF">2024-11-23T09:55:13Z</dcterms:modified>
  <cp:version>730895</cp:version>
</cp:coreProperties>
</file>