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000000" w:themeColor="text1"/>
          <w:sz w:val="18"/>
          <w:szCs w:val="1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8"/>
          <w:szCs w:val="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sz w:val="18"/>
          <w:szCs w:val="18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8"/>
          <w:szCs w:val="1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  <w:sz w:val="18"/>
          <w:szCs w:val="18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2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2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21 листопада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626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/>
        <w:spacing/>
        <w:ind/>
        <w:rPr>
          <w:sz w:val="18"/>
          <w:szCs w:val="14"/>
        </w:rPr>
      </w:pPr>
      <w:r>
        <w:rPr>
          <w:sz w:val="18"/>
          <w:szCs w:val="14"/>
        </w:rPr>
      </w:r>
      <w:r>
        <w:rPr>
          <w:sz w:val="18"/>
          <w:szCs w:val="1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969"/>
          <w:tab w:val="left" w:leader="none" w:pos="425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дозволу громадянам на розробку документації із землеустрою по встановленню меж земельних ділянок (паї)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власників земельних часток (паїв) щодо виділення їм в натурі (на місцевості) земельних ділянок відповідно до розробленої проєктно-технічної документації по паюванню КСП «Світанок» за межами с. Киселівка, КСП «Полісся» за межами с. Синявка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КСП ім. Куйбишева за межами с. Дягова, КСГП «Зоря» за межами с. Семенівка, КСП «Великий Жовтень» за межами с. Покровське, керуючись Законом України «Про порядок виділення в натурі (на</w:t>
      </w:r>
      <w:r>
        <w:rPr>
          <w:rFonts w:ascii="Times New Roman" w:hAnsi="Times New Roman" w:eastAsia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місцевості) земельних ділянок власникам земельних часток (паїв)» та п. 34 ч.1 ст. 26 Закону України «Про місцеве самоврядування в Україні»,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Надати дозвіл громадянам, власникам сертифікатів, на виготовлення документації із землеустрою по встановленню (відновленню) меж земельних ділянок для виділення їх в натурі (на місцевості) на підставі сертифікатів на право на земельну частку (пай) для ве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дення товарного сільськогосподарського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Киселівка: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Жайворонок Віті Ігорівні – РН №969619-(1/2 частка) – свідоцтво про право на спадщину за законом від 24.10.2024, зареєстроване в реєстрі за №3152, спадкова справа № 271/2020;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Синявка: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Семко Сергій Васильович – РН №965979 – свідоцтво про право на спадщину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заповітом від 01.04.2024, зареєстроване в реєстрі за №1138, спадкова справа № 90/2014;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Лозовий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Сергій Григорович – ЧН №0345184;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Дягова: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Петренко Петро Андрійович – ЧН №0271875-(пасовище) – рішення Менського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районного суду Чернігівської області від 18.09.2024 року, справа № 738/1692/24, № провадження 2/738/512/2024;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Семенівка: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Осипець Руслан Олександрович – ЧН №0223472-(1/2 частка) – свідоцтво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право на спадщину за законом від 17.12.2021, зареєстроване в реєстрі за №3150, спадкова справа № 52/2015; свідоцтво про право на спадщину за законом від 24.12.2021, зареєстроване в реє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стрі за №3238, спадкова справа № 59/2015;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Ларкіна Віра Григорівна – ЧН №0223472-(1/2 частка) – свідоцтво про право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спадщину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законом від 17.12.2021, зареєстроване в реєстрі за №3150, спадкова справа № 52/2015;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Осипець Руслан Олександрович – ЧН №0223578-(1/2 частка) – свідоцтво про право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спадщину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законом від 17.12.2021, зареєстроване в реєстрі за №3149, спадкова справа № 52/2015; свідоцтво про право на спадщину за законом від 24.12.2021, зареєстроване в реє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стрі за №3236, спадкова справа № 59/2015;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Ларкіна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Віра Григорівна – ЧН №0223578-(1/2 частка) – свідоцтво про право на спадщину за законом від 17.12.2021, зареєстроване в реєстрі за №3149, спадкова справа № 52/2015;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Покровське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Купрієнко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Ольга Миколаївна – РН №952557 – свідоцтво про право на спадщину за законом від 13.11.2024, зареєстроване в реєстрі за №3364, спадкова справа № 247/2014.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26"/>
          <w:tab w:val="clear" w:leader="none" w:pos="70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Громадянам замовити технічну документацію із землеустрою та подати на затвердження в установленому законодавством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2024-11-23T10:47:13Z</dcterms:modified>
</cp:coreProperties>
</file>