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8"/>
          <w:szCs w:val="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6"/>
          <w:szCs w:val="16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8"/>
          <w:szCs w:val="14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14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8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землеустрою щодо відведення земельної ділянки з метою передачі в оренду Менській райспоживспілці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sz w:val="18"/>
          <w:szCs w:val="1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14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в.о. Голови правління Менської районної спілки споживчих товариств (код ЄДРПОУ – 34224599) В.М.Горової щодо надання дозволу на виготовлення проєкту землеустрою щодо відведення земельної ділянки з метою отримання в оренду «для будівницт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 і обслуговування житлового будинку, господарських будівель і споруд (присадибна ділянка)» (код КВЦПЗ 02.01) орієнтовною площею 0,1000 га на території Менської міської територіальної громади, враховуючи, що на даній земельній ділянці розташований об’єкт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нерухомого майна (житловий будинок садибного типу) за адресою: вул. Шевченка, 77, м. Мена, Корюківського району, Чернігівської області, що перебуває на праві власності, керуючись ст.12, 120, 122 Земельного кодексу України, ст. 26 Закону України «Про місцев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Менській районній спілці споживчих товариств на виготовлення проекту землеустрою щодо відведення земельної ділянки з метою отримання в оренду «для будівництва і обслуговування житлового будинку, господарських будівель і споруд (присадибна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ділянка)» (код КВЦПЗ 02.01) орієнтовною площею 0,1000 га на території Менської міської територіальної громади, за місцем розташування об’єкта нерухомого майна, що перебуває на праві власності.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Менської районної спілки споживчих товариств  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2024-11-23T10:55:17Z</dcterms:modified>
</cp:coreProperties>
</file>