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0"/>
        <w:pBdr/>
        <w:spacing w:after="0" w:afterAutospacing="0" w:line="240" w:lineRule="auto"/>
        <w:ind/>
        <w:jc w:val="center"/>
        <w:rPr>
          <w:sz w:val="28"/>
          <w:szCs w:val="28"/>
        </w:rPr>
      </w:pPr>
      <w:r/>
      <w:bookmarkStart w:id="0" w:name="_Hlk146204285"/>
      <w:r>
        <w:rPr>
          <w:b/>
          <w:bCs/>
          <w:sz w:val="28"/>
          <w:szCs w:val="28"/>
        </w:rPr>
        <w:t xml:space="preserve">Пояснювальна записка</w:t>
      </w:r>
      <w:r>
        <w:rPr>
          <w:sz w:val="28"/>
          <w:szCs w:val="28"/>
        </w:rPr>
      </w:r>
    </w:p>
    <w:p>
      <w:pPr>
        <w:pStyle w:val="740"/>
        <w:pBdr/>
        <w:spacing w:after="0" w:afterAutospacing="0" w:line="240" w:lineRule="auto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 рішення </w:t>
      </w:r>
      <w:r>
        <w:rPr>
          <w:b/>
          <w:bCs/>
          <w:sz w:val="28"/>
          <w:szCs w:val="28"/>
        </w:rPr>
        <w:t xml:space="preserve">п’ятдесят </w:t>
      </w:r>
      <w:r>
        <w:rPr>
          <w:b/>
          <w:bCs/>
          <w:sz w:val="28"/>
          <w:szCs w:val="28"/>
        </w:rPr>
        <w:t xml:space="preserve">четверт</w:t>
      </w:r>
      <w:r>
        <w:rPr>
          <w:b/>
          <w:bCs/>
          <w:sz w:val="28"/>
          <w:szCs w:val="28"/>
        </w:rPr>
        <w:t xml:space="preserve">ої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сесії Менської міської ради восьмого скликання №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від </w:t>
      </w:r>
      <w:r>
        <w:rPr>
          <w:b/>
          <w:bCs/>
          <w:sz w:val="28"/>
          <w:szCs w:val="28"/>
        </w:rPr>
        <w:t xml:space="preserve">22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жовт</w:t>
      </w:r>
      <w:r>
        <w:rPr>
          <w:b/>
          <w:bCs/>
          <w:sz w:val="28"/>
          <w:szCs w:val="28"/>
        </w:rPr>
        <w:t xml:space="preserve">ня</w:t>
      </w:r>
      <w:r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 xml:space="preserve">4</w:t>
      </w:r>
      <w:r>
        <w:rPr>
          <w:b/>
          <w:bCs/>
          <w:sz w:val="28"/>
          <w:szCs w:val="28"/>
        </w:rPr>
        <w:t xml:space="preserve"> року </w:t>
      </w:r>
      <w:r>
        <w:rPr>
          <w:b/>
          <w:bCs/>
          <w:sz w:val="28"/>
          <w:szCs w:val="28"/>
        </w:rPr>
        <w:t xml:space="preserve">Про внесення змін до рішення 43 сесії Менської міської ради 8 скликання № 777 від 21 грудня 2023 року «Про бюджет Менської міської територіальної громади на 2024 рік (код бюджету 2551700000)»</w:t>
      </w:r>
      <w:bookmarkEnd w:id="0"/>
      <w:r>
        <w:rPr>
          <w:b/>
          <w:bCs/>
          <w:sz w:val="28"/>
          <w:szCs w:val="28"/>
        </w:rPr>
      </w:r>
    </w:p>
    <w:p>
      <w:pPr>
        <w:pBdr/>
        <w:tabs>
          <w:tab w:val="left" w:leader="none" w:pos="850"/>
        </w:tabs>
        <w:spacing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положень Бюджетного кодексу України, ст. 26 Закону України «Про місцеве самоврядування в Україні», рішення № </w:t>
      </w:r>
      <w:r>
        <w:rPr>
          <w:rFonts w:ascii="Times New Roman" w:hAnsi="Times New Roman" w:cs="Times New Roman"/>
          <w:sz w:val="28"/>
          <w:szCs w:val="28"/>
        </w:rPr>
        <w:t xml:space="preserve">777</w:t>
      </w:r>
      <w:r>
        <w:rPr>
          <w:rFonts w:ascii="Times New Roman" w:hAnsi="Times New Roman" w:cs="Times New Roman"/>
          <w:sz w:val="28"/>
          <w:szCs w:val="28"/>
        </w:rPr>
        <w:t xml:space="preserve"> «Про бюджет Менської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t xml:space="preserve"> (код бюджету 2551700000)</w:t>
      </w:r>
      <w:r>
        <w:rPr>
          <w:rFonts w:ascii="Times New Roman" w:hAnsi="Times New Roman" w:cs="Times New Roman"/>
          <w:sz w:val="28"/>
          <w:szCs w:val="28"/>
        </w:rPr>
        <w:t xml:space="preserve">» від 2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.12.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року, за погодженням постійної комісії з питань планування, фінансів, бюджету, соціально-економічного розвитку, житлово-комунального господарства та комунального майна Менської міської ради: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numPr>
          <w:ilvl w:val="0"/>
          <w:numId w:val="8"/>
        </w:numPr>
        <w:pBdr/>
        <w:tabs>
          <w:tab w:val="left" w:leader="none" w:pos="850"/>
        </w:tabs>
        <w:spacing w:after="0" w:afterAutospacing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Збільшити дохідну частину загального фонду бюджету Менської територіальної громади в сумі 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000,00 грн. в </w:t>
      </w:r>
      <w:r>
        <w:rPr>
          <w:rFonts w:ascii="Times New Roman" w:hAnsi="Times New Roman" w:cs="Times New Roman"/>
          <w:sz w:val="28"/>
          <w:szCs w:val="28"/>
        </w:rPr>
        <w:t xml:space="preserve">липні</w:t>
      </w:r>
      <w:r>
        <w:rPr>
          <w:rFonts w:ascii="Times New Roman" w:hAnsi="Times New Roman" w:cs="Times New Roman"/>
          <w:sz w:val="28"/>
          <w:szCs w:val="28"/>
        </w:rPr>
        <w:t xml:space="preserve"> місяці ( код доходів 41053900- інша субвенція з місцевого бюджету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кошти</w:t>
      </w:r>
      <w:r>
        <w:rPr>
          <w:rFonts w:ascii="Times New Roman" w:hAnsi="Times New Roman" w:cs="Times New Roman"/>
          <w:sz w:val="28"/>
          <w:szCs w:val="28"/>
        </w:rPr>
        <w:t xml:space="preserve"> Березнянської селищної ради</w:t>
      </w:r>
      <w:r>
        <w:rPr>
          <w:rFonts w:ascii="Times New Roman" w:hAnsi="Times New Roman" w:cs="Times New Roman"/>
          <w:sz w:val="28"/>
          <w:szCs w:val="28"/>
        </w:rPr>
        <w:t xml:space="preserve">), кошти направити на збільшення видаткової частини загального фонду </w:t>
      </w:r>
      <w:r>
        <w:rPr>
          <w:rFonts w:ascii="Times New Roman" w:hAnsi="Times New Roman" w:cs="Times New Roman"/>
          <w:sz w:val="28"/>
          <w:szCs w:val="28"/>
        </w:rPr>
        <w:t xml:space="preserve">Відділу соціального захисту населенн</w:t>
      </w:r>
      <w:r>
        <w:rPr>
          <w:rFonts w:ascii="Times New Roman" w:hAnsi="Times New Roman" w:cs="Times New Roman"/>
          <w:sz w:val="28"/>
          <w:szCs w:val="28"/>
        </w:rPr>
        <w:t xml:space="preserve">я та охорони здоров’я Менської міської ради по первинній медичній допомозі населенню, що надається центрами первинної медичної (медико-санітарної) допомоги в частині видатків на субсидії та поточні трансферти підприємствам (установам, організаціям) в сумі 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000,00 грн. на фінансування по комплексній програмі розвитку та фінансової підтримки закладів охорони здоров'я, що надають медичну допомогу на території Менської міської територіальної громади на 2022-2024 роки (</w:t>
      </w:r>
      <w:r>
        <w:rPr>
          <w:rFonts w:ascii="Times New Roman" w:hAnsi="Times New Roman" w:cs="Times New Roman"/>
          <w:sz w:val="28"/>
          <w:szCs w:val="28"/>
        </w:rPr>
        <w:t xml:space="preserve">придбання наркотичних засобів для онкохворих пацієнтів Березнянської селищної ради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pBdr/>
        <w:tabs>
          <w:tab w:val="left" w:leader="none" w:pos="850"/>
        </w:tabs>
        <w:spacing w:after="0" w:afterAutospacing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(КПКВК 0812111 КЕКВ 2610+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000,00 грн.</w:t>
      </w:r>
      <w:r>
        <w:rPr>
          <w:rFonts w:ascii="Times New Roman" w:hAnsi="Times New Roman" w:cs="Times New Roman"/>
          <w:sz w:val="28"/>
          <w:szCs w:val="28"/>
        </w:rPr>
        <w:t xml:space="preserve"> липень місяць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numPr>
          <w:ilvl w:val="0"/>
          <w:numId w:val="8"/>
        </w:numPr>
        <w:pBdr/>
        <w:tabs>
          <w:tab w:val="left" w:leader="none" w:pos="850"/>
        </w:tabs>
        <w:spacing w:after="0" w:afterAutospacing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Збільшити дохідну частину загального фонду бюджету Менської територіальної </w:t>
      </w:r>
      <w:r>
        <w:rPr>
          <w:rFonts w:ascii="Times New Roman" w:hAnsi="Times New Roman" w:cs="Times New Roman"/>
          <w:sz w:val="28"/>
          <w:szCs w:val="28"/>
        </w:rPr>
        <w:t xml:space="preserve">громади </w:t>
      </w:r>
      <w:r>
        <w:rPr>
          <w:rFonts w:ascii="Times New Roman" w:hAnsi="Times New Roman" w:cs="Times New Roman"/>
          <w:sz w:val="28"/>
          <w:szCs w:val="28"/>
        </w:rPr>
        <w:t xml:space="preserve">в сумі </w:t>
      </w:r>
      <w:r>
        <w:rPr>
          <w:rFonts w:ascii="Times New Roman" w:hAnsi="Times New Roman" w:cs="Times New Roman"/>
          <w:sz w:val="28"/>
          <w:szCs w:val="28"/>
        </w:rPr>
        <w:t xml:space="preserve">102</w:t>
      </w:r>
      <w:r>
        <w:rPr>
          <w:rFonts w:ascii="Times New Roman" w:hAnsi="Times New Roman" w:cs="Times New Roman"/>
          <w:sz w:val="28"/>
          <w:szCs w:val="28"/>
        </w:rPr>
        <w:t xml:space="preserve">000,00 грн. </w:t>
      </w:r>
      <w:r>
        <w:rPr>
          <w:rFonts w:ascii="Times New Roman" w:hAnsi="Times New Roman" w:cs="Times New Roman"/>
          <w:sz w:val="28"/>
          <w:szCs w:val="28"/>
        </w:rPr>
        <w:t xml:space="preserve">в жовтні місяці </w:t>
      </w:r>
      <w:r>
        <w:rPr>
          <w:rFonts w:ascii="Times New Roman" w:hAnsi="Times New Roman" w:cs="Times New Roman"/>
          <w:sz w:val="28"/>
          <w:szCs w:val="28"/>
        </w:rPr>
        <w:t xml:space="preserve">( код доходів 41053900- інша субвенція з місцевого бюджету, на виконання доручень виборців депутатами обласної ради), кошти направити на збільшення видаткової частини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загального фонду</w:t>
      </w:r>
      <w:r>
        <w:rPr>
          <w:rFonts w:ascii="Times New Roman" w:hAnsi="Times New Roman" w:cs="Times New Roman"/>
          <w:sz w:val="28"/>
          <w:szCs w:val="28"/>
        </w:rPr>
        <w:t xml:space="preserve">, а саме: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по п</w:t>
      </w:r>
      <w:r>
        <w:rPr>
          <w:rFonts w:ascii="Times New Roman" w:hAnsi="Times New Roman" w:cs="Times New Roman"/>
          <w:sz w:val="28"/>
          <w:szCs w:val="28"/>
        </w:rPr>
        <w:t xml:space="preserve">ідтрим</w:t>
      </w:r>
      <w:r>
        <w:rPr>
          <w:rFonts w:ascii="Times New Roman" w:hAnsi="Times New Roman" w:cs="Times New Roman"/>
          <w:sz w:val="28"/>
          <w:szCs w:val="28"/>
        </w:rPr>
        <w:t xml:space="preserve">ці</w:t>
      </w:r>
      <w:r>
        <w:rPr>
          <w:rFonts w:ascii="Times New Roman" w:hAnsi="Times New Roman" w:cs="Times New Roman"/>
          <w:sz w:val="28"/>
          <w:szCs w:val="28"/>
        </w:rPr>
        <w:t xml:space="preserve"> спорту вищих досягнень та організацій, які здійснюють фізкультурно-спортивну діяльність в регіон</w:t>
      </w:r>
      <w:r>
        <w:rPr>
          <w:rFonts w:ascii="Times New Roman" w:hAnsi="Times New Roman" w:cs="Times New Roman"/>
          <w:sz w:val="28"/>
          <w:szCs w:val="28"/>
        </w:rPr>
        <w:t xml:space="preserve">і в частині видатків </w:t>
      </w:r>
      <w:r>
        <w:rPr>
          <w:rFonts w:ascii="Times New Roman" w:hAnsi="Times New Roman" w:cs="Times New Roman"/>
          <w:sz w:val="28"/>
          <w:szCs w:val="28"/>
        </w:rPr>
        <w:t xml:space="preserve">на інші виплати населенню</w:t>
      </w:r>
      <w:r>
        <w:rPr>
          <w:rFonts w:ascii="Times New Roman" w:hAnsi="Times New Roman" w:cs="Times New Roman"/>
          <w:sz w:val="28"/>
          <w:szCs w:val="28"/>
        </w:rPr>
        <w:t xml:space="preserve"> в сумі 25000,00 грн. на виконання </w:t>
      </w:r>
      <w:r>
        <w:rPr>
          <w:rFonts w:ascii="Times New Roman" w:hAnsi="Times New Roman" w:cs="Times New Roman"/>
          <w:sz w:val="28"/>
          <w:szCs w:val="28"/>
        </w:rPr>
        <w:t xml:space="preserve">ПРОГРАМ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розвитку фізичної культури і спорту в Менській міській територіальній громаді на 2022-2024 роки</w:t>
      </w:r>
      <w:r>
        <w:rPr>
          <w:rFonts w:ascii="Times New Roman" w:hAnsi="Times New Roman" w:cs="Times New Roman"/>
          <w:sz w:val="28"/>
          <w:szCs w:val="28"/>
        </w:rPr>
        <w:t xml:space="preserve"> (на адресне матеріальне заохочення спортсменів за зайняті призові місця, згідно наданого переліку)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(КПКВК 0115062 КЕКВ 2730+25000,00 грн.)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ідділу освіти Менської міської ради по наданню загальної середньої освіти закладами загальної середньої освіти в частині видатків на придбання предметів, матеріалів та інвентарю в сумі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0000,00 грн. (на зміцнення матеріально-технічної бази </w:t>
      </w:r>
      <w:r>
        <w:rPr>
          <w:rFonts w:ascii="Times New Roman" w:hAnsi="Times New Roman" w:cs="Times New Roman"/>
          <w:sz w:val="28"/>
          <w:szCs w:val="28"/>
        </w:rPr>
        <w:t xml:space="preserve">Феськівської гімназії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(КПКВК 0611021 КЕКВ 2210+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0000,00 грн.)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numPr>
          <w:ilvl w:val="0"/>
          <w:numId w:val="2"/>
        </w:numPr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Відділу соціального захисту населення та охорони здоров’я Менської міської ради по багатопрофільній стаціонарній медичній допомозі населенню </w:t>
      </w:r>
      <w:bookmarkStart w:id="1" w:name="_Hlk160181511"/>
      <w:r>
        <w:rPr>
          <w:rFonts w:ascii="Times New Roman" w:hAnsi="Times New Roman" w:cs="Times New Roman"/>
          <w:sz w:val="28"/>
          <w:szCs w:val="28"/>
        </w:rPr>
        <w:t xml:space="preserve">в частині видатків на субсидії та поточні трансферти підприємствам (установам, організаціям)</w:t>
      </w:r>
      <w:r>
        <w:rPr>
          <w:rFonts w:ascii="Times New Roman" w:hAnsi="Times New Roman" w:cs="Times New Roman"/>
          <w:sz w:val="28"/>
          <w:szCs w:val="28"/>
        </w:rPr>
        <w:t xml:space="preserve"> в сумі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000,00 грн.</w:t>
      </w:r>
      <w:r>
        <w:rPr>
          <w:rFonts w:ascii="Times New Roman" w:hAnsi="Times New Roman" w:cs="Times New Roman"/>
          <w:sz w:val="28"/>
          <w:szCs w:val="28"/>
        </w:rPr>
        <w:t xml:space="preserve"> на фінансування по комплексній програмі розвитку та фінансової підтримки закладів охорони здоров'я, що надають медичну допомогу на території Менської міської територіальної громади на 2022-2024 роки (</w:t>
      </w:r>
      <w:r>
        <w:rPr>
          <w:rFonts w:ascii="Times New Roman" w:hAnsi="Times New Roman" w:cs="Times New Roman"/>
          <w:sz w:val="28"/>
          <w:szCs w:val="28"/>
        </w:rPr>
        <w:t xml:space="preserve">ремонт палат інфекційного відділення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(КПКВК 0812010 КЕКВ 2610+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000,00 грн.)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numPr>
          <w:ilvl w:val="0"/>
          <w:numId w:val="2"/>
        </w:numPr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" w:name="_Hlk180423009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Відділу соціального захисту населення та охорони здоров’я Менської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по первинній медичній допомозі населенню, що надається центрами первинної медичної (медико-санітарної) допомоги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частині видатків на субсидії та поточні трансферти підприємствам (установам, організаціям)</w:t>
      </w:r>
      <w:r>
        <w:rPr>
          <w:rFonts w:ascii="Times New Roman" w:hAnsi="Times New Roman" w:cs="Times New Roman"/>
          <w:sz w:val="28"/>
          <w:szCs w:val="28"/>
        </w:rPr>
        <w:t xml:space="preserve"> в сумі 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000,00 грн.</w:t>
      </w:r>
      <w:r>
        <w:rPr>
          <w:rFonts w:ascii="Times New Roman" w:hAnsi="Times New Roman" w:cs="Times New Roman"/>
          <w:sz w:val="28"/>
          <w:szCs w:val="28"/>
        </w:rPr>
        <w:t xml:space="preserve"> на фінансування по комплексній програмі розвитку та фінансової підтримки закладів охорони здоров'я, що надають медичну допомогу на території Менської міської територіальної громади на 2022-2024 роки (</w:t>
      </w:r>
      <w:r>
        <w:rPr>
          <w:rFonts w:ascii="Times New Roman" w:hAnsi="Times New Roman" w:cs="Times New Roman"/>
          <w:sz w:val="28"/>
          <w:szCs w:val="28"/>
        </w:rPr>
        <w:t xml:space="preserve">зміцнення матеріально-технічної бази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(КПКВК 0812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КЕКВ 2610+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000,00 грн.)</w:t>
      </w:r>
      <w:bookmarkEnd w:id="2"/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numPr>
          <w:ilvl w:val="0"/>
          <w:numId w:val="20"/>
        </w:numPr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Відділу культури Менської міської ради по забезпеченню діяльності палаців i будинків культури, клубів, центрів дозвілля та </w:t>
      </w:r>
      <w:r>
        <w:rPr>
          <w:rFonts w:ascii="Times New Roman" w:hAnsi="Times New Roman" w:cs="Times New Roman"/>
          <w:sz w:val="28"/>
          <w:szCs w:val="28"/>
        </w:rPr>
        <w:t xml:space="preserve">інших</w:t>
      </w:r>
      <w:r>
        <w:rPr>
          <w:rFonts w:ascii="Times New Roman" w:hAnsi="Times New Roman" w:cs="Times New Roman"/>
          <w:sz w:val="28"/>
          <w:szCs w:val="28"/>
        </w:rPr>
        <w:t xml:space="preserve"> клубних закладів в частині видатків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придбання предметів, матеріалів та інвентарю в сумі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0000,00 грн. (на зміцнення матеріально-технічної бази </w:t>
      </w:r>
      <w:r>
        <w:rPr>
          <w:rFonts w:ascii="Times New Roman" w:hAnsi="Times New Roman" w:cs="Times New Roman"/>
          <w:sz w:val="28"/>
          <w:szCs w:val="28"/>
        </w:rPr>
        <w:t xml:space="preserve">комунального закладу «Менський будинок культури»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(КПКВК </w:t>
      </w:r>
      <w:r>
        <w:rPr>
          <w:rFonts w:ascii="Times New Roman" w:hAnsi="Times New Roman" w:cs="Times New Roman"/>
          <w:sz w:val="28"/>
          <w:szCs w:val="28"/>
        </w:rPr>
        <w:t xml:space="preserve">1014060</w:t>
      </w:r>
      <w:r>
        <w:rPr>
          <w:rFonts w:ascii="Times New Roman" w:hAnsi="Times New Roman" w:cs="Times New Roman"/>
          <w:sz w:val="28"/>
          <w:szCs w:val="28"/>
        </w:rPr>
        <w:t xml:space="preserve"> КЕКВ 2210+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0000,00 грн.)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numPr>
          <w:ilvl w:val="0"/>
          <w:numId w:val="8"/>
        </w:numPr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Збільшити </w:t>
      </w:r>
      <w:r>
        <w:rPr>
          <w:rFonts w:ascii="Times New Roman" w:hAnsi="Times New Roman" w:cs="Times New Roman"/>
          <w:sz w:val="28"/>
          <w:szCs w:val="28"/>
        </w:rPr>
        <w:t xml:space="preserve">дохідну частину загального фонду бюджету Менської територіальної громади в сумі 1091200,00 грн. ( код доходів 41033300- Субвенція з державного бюджету місцевим бюджетам на забезпечення харчуванням учнів початкових класів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</w:rPr>
        <w:t xml:space="preserve">; 363900,00 грн.-жовтень, 363900,00 грн. листопад, 363400,00 грн.-грудень</w:t>
      </w:r>
      <w:r>
        <w:rPr>
          <w:rFonts w:ascii="Times New Roman" w:hAnsi="Times New Roman" w:cs="Times New Roman"/>
          <w:sz w:val="28"/>
          <w:szCs w:val="28"/>
        </w:rPr>
        <w:t xml:space="preserve">), кошти направити на збільшення видаткової частини загального фонду</w:t>
      </w:r>
      <w:r>
        <w:rPr>
          <w:rFonts w:ascii="Times New Roman" w:hAnsi="Times New Roman" w:cs="Times New Roman"/>
          <w:sz w:val="28"/>
          <w:szCs w:val="28"/>
        </w:rPr>
        <w:t xml:space="preserve"> Відділу освіти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на забезпечення харчуванням учнів початкових класів закладів загальної середньої освіти за рахунок субвенції з державного бюджету місцевим бюджетам в частині видатків на оплату харчування в сумі 1091200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00 грн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Програма організації харчування дітей у закладах загальної середньої освіти Менської міської ради на 2022-2024 роки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(КПКВК 0611403 КЕКВ 2230+1091200,00 грн.)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numPr>
          <w:ilvl w:val="0"/>
          <w:numId w:val="8"/>
        </w:numPr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Менської тери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торіальної громади в сумі 700000,00 грн. ( код доходів 41053600- Субвенція з місцевого бюджету на здійснення природоохоронних заходів), кошти направити на збільшення видаткової частини спеціального фонду Менської міської ради на утилізацію відходів в сумі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700000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,00 грн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облаштування контейнерних майданчиків для збирання побутових відходів на території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Менської міської територіальної громади Корюківського району Чернігівської області ( в частині видатків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оплату послуг).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41"/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(КПКВК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118312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2240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70000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0,00 грн.)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41"/>
        <w:numPr>
          <w:ilvl w:val="0"/>
          <w:numId w:val="8"/>
        </w:numPr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загального фонду Відділу освіти Менської міської ради з надання загальної середньої освіти закладами загальної середньої освіти за рахунок коштів місцевого бюджету в сумі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28105,00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саме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видатки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придбання продуктів харчування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програмі організації харчування дітей у закладах загальної середньої освіти Менської міської ради на 2022-2024 роки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рахунок зменшення видатків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електроенергі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41"/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(КПКВК 0611021 КЕКВ 2230+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28105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,00 грн., КЕКВ 2273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-28105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,00 грн.)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41"/>
        <w:numPr>
          <w:ilvl w:val="0"/>
          <w:numId w:val="8"/>
        </w:numPr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3" w:name="_Hlk180405864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видаткової частини бюджету </w:t>
      </w:r>
      <w:bookmarkEnd w:id="3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Менської міської ради по інших заходах громадського порядку та безпеки на виконання Програми підвищення обо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роноздатності та безпеки населених пунктів Менської міської територіальної громади в умовах воєнного стану на 2024 рік, а саме: зменшити річну суму кошторисних призначень спеціального фонду на  придбання обладнання і предметів довгострокового користування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сумі 98500,00 грн.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збільшивши видаткову частину загального фонду в частині видатків на придбання предметів, матеріалів, обладнання та інвентарю на таку ж саму суму.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41"/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(КПКВК 0118230 КЕКВ 2210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+9850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0,00 грн., КЕКВ 3110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-985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00,00 грн.)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41"/>
        <w:numPr>
          <w:ilvl w:val="0"/>
          <w:numId w:val="8"/>
        </w:numPr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видаткової частини бюджету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Відділу освіти Менської міської ради на співфінансування заходів, що реалізуються за рахунок субвенції з державного бюджету місцевим бюджетам на забезпечення якісної, сучасної та доступної загальної середньої освіти "Нова українська школа" в сумі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35970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,00 грн.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саме: зменшити видаткову частину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спеціального фонду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частині видатків на придбання обладнання і предметів довгострокового користування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збільшивши видатки загального фонду на оплату послуг.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41"/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(КПКВК 0611181 КЕКВ 3110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-35970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,00 грн.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КЕКВ 2240+35970,00 грн.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41"/>
        <w:numPr>
          <w:ilvl w:val="0"/>
          <w:numId w:val="8"/>
        </w:numPr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видаткової частини бюджету Відділу освіти Менської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иконання заходів, спрямованих на забезпечення якісної, сучасної та доступної загальної середньої освіти "Нова українська школа" за рахунок субвенції з державного бюджету місцевим бюджетам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41"/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323730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,00 грн., а саме: зменшити видаткову частину спеціального фонду в частині видатків на  придбання обладнання і предметів довгострокового користування, збільшивши видатки загального фонду на оплату послуг.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41"/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(КПКВК 061118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 3110-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323730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,00 грн., КЕКВ 2240+3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23730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,00 грн.)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41"/>
        <w:numPr>
          <w:ilvl w:val="0"/>
          <w:numId w:val="8"/>
        </w:numPr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загального фонду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бюджету Відділу освіти Менської міської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саме: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41"/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4" w:name="_Hlk18040820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-зменшити видаткову частину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4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наданню позашкільної освіти закладами позашкільної освіти, заходи із позашкільної роботи з дітьми </w:t>
      </w:r>
      <w:bookmarkStart w:id="5" w:name="_Hlk180408226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частині оплати послуг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30000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,00 грн., </w:t>
      </w:r>
      <w:bookmarkEnd w:id="5"/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41"/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шити видаткову частину </w:t>
      </w:r>
      <w:r>
        <w:rPr>
          <w:rFonts w:ascii="Times New Roman" w:hAnsi="Times New Roman" w:cs="Times New Roman"/>
          <w:sz w:val="28"/>
          <w:szCs w:val="28"/>
        </w:rPr>
        <w:t xml:space="preserve">на утримання та навчально-тренувальна робота комунальних дитячо-юнацьких спортивних шкіл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частині оплати послуг в сумі 30000,00 грн.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(проведення аварійно-відновлювальних робіт даху)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850"/>
        </w:tabs>
        <w:spacing w:after="0" w:afterAutospacing="0" w:line="240" w:lineRule="auto"/>
        <w:ind w:right="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(КПКВК 0611070 КЕКВ 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00,00 грн.,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КПКВК 0615031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 2240+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30000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,00 грн.)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41"/>
        <w:numPr>
          <w:ilvl w:val="0"/>
          <w:numId w:val="8"/>
        </w:numPr>
        <w:pBdr/>
        <w:tabs>
          <w:tab w:val="left" w:leader="none" w:pos="1134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зміни до річного розпису Відділу освіти Менської міської ради по наданню дошкільної освіти, а саме: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зменши</w:t>
      </w:r>
      <w:r>
        <w:rPr>
          <w:rFonts w:ascii="Times New Roman" w:hAnsi="Times New Roman" w:cs="Times New Roman"/>
          <w:sz w:val="28"/>
          <w:szCs w:val="28"/>
        </w:rPr>
        <w:t xml:space="preserve">ти річну суму кошторисних призначень спеціального фонду в частині видатків на капітальний ремонт інших об’єктів в сумі 99600,00 грн. (для розробки ПКД на встановлення геліосистем та блискавкозахисту, в рамках реалізації проєкту «Енергія Сонця для діточок»)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pBdr/>
        <w:tabs>
          <w:tab w:val="left" w:leader="none" w:pos="850"/>
        </w:tabs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збільшити річну суму кошторисних призначень загального фонду в частині видатків на оплату послуг в сумі 96600,00 грн. 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0"/>
        </w:tabs>
        <w:spacing w:after="0" w:afterAutospacing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(КПКВК 0611010 КЕКВ 2240</w:t>
      </w:r>
      <w:r>
        <w:rPr>
          <w:rFonts w:ascii="Times New Roman" w:hAnsi="Times New Roman" w:cs="Times New Roman"/>
          <w:sz w:val="28"/>
          <w:szCs w:val="28"/>
        </w:rPr>
        <w:t xml:space="preserve">+</w:t>
      </w:r>
      <w:r>
        <w:rPr>
          <w:rFonts w:ascii="Times New Roman" w:hAnsi="Times New Roman" w:cs="Times New Roman"/>
          <w:sz w:val="28"/>
          <w:szCs w:val="28"/>
        </w:rPr>
        <w:t xml:space="preserve">96600,00 грн., КЕКВ 3132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96600,00 грн.)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numPr>
          <w:ilvl w:val="0"/>
          <w:numId w:val="8"/>
        </w:numPr>
        <w:pBdr/>
        <w:spacing w:after="0" w:afterAutospacing="0" w:line="240" w:lineRule="auto"/>
        <w:ind w:right="6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зміни до річного розпису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Відділу </w:t>
      </w:r>
      <w:r>
        <w:rPr>
          <w:rFonts w:ascii="Times New Roman" w:hAnsi="Times New Roman" w:cs="Times New Roman"/>
          <w:sz w:val="28"/>
          <w:szCs w:val="28"/>
        </w:rPr>
        <w:t xml:space="preserve">культури</w:t>
      </w:r>
      <w:r>
        <w:rPr>
          <w:rFonts w:ascii="Times New Roman" w:hAnsi="Times New Roman" w:cs="Times New Roman"/>
          <w:sz w:val="28"/>
          <w:szCs w:val="28"/>
        </w:rPr>
        <w:t xml:space="preserve">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, а саме: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numPr>
          <w:ilvl w:val="0"/>
          <w:numId w:val="7"/>
        </w:numPr>
        <w:pBdr/>
        <w:tabs>
          <w:tab w:val="left" w:leader="none" w:pos="850"/>
        </w:tabs>
        <w:spacing w:after="0" w:afterAutospacing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6" w:name="_Hlk180422600"/>
      <w:r>
        <w:rPr>
          <w:rFonts w:ascii="Times New Roman" w:hAnsi="Times New Roman" w:cs="Times New Roman"/>
          <w:sz w:val="28"/>
          <w:szCs w:val="28"/>
        </w:rPr>
        <w:t xml:space="preserve">зменшити річну суму кошторисних призначень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  <w:r>
        <w:rPr>
          <w:rFonts w:ascii="Times New Roman" w:hAnsi="Times New Roman" w:cs="Times New Roman"/>
          <w:sz w:val="28"/>
          <w:szCs w:val="28"/>
        </w:rPr>
        <w:t xml:space="preserve">загального фонду в сумі 13460,00 грн., а саме: </w:t>
      </w:r>
      <w:r>
        <w:rPr>
          <w:rFonts w:ascii="Times New Roman" w:hAnsi="Times New Roman" w:cs="Times New Roman"/>
          <w:sz w:val="28"/>
          <w:szCs w:val="28"/>
        </w:rPr>
        <w:t xml:space="preserve">по забезпеченню діяльності бібліотек </w:t>
      </w:r>
      <w:bookmarkStart w:id="7" w:name="_Hlk170140281"/>
      <w:r>
        <w:rPr>
          <w:rFonts w:ascii="Times New Roman" w:hAnsi="Times New Roman" w:cs="Times New Roman"/>
          <w:sz w:val="28"/>
          <w:szCs w:val="28"/>
        </w:rPr>
        <w:t xml:space="preserve">в частині видатків на оплату послуг (крім комунальних) </w:t>
      </w:r>
      <w:bookmarkEnd w:id="7"/>
      <w:r>
        <w:rPr>
          <w:rFonts w:ascii="Times New Roman" w:hAnsi="Times New Roman" w:cs="Times New Roman"/>
          <w:sz w:val="28"/>
          <w:szCs w:val="28"/>
        </w:rPr>
        <w:t xml:space="preserve">в сумі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000,00 грн.</w:t>
      </w:r>
      <w:r>
        <w:rPr>
          <w:rFonts w:ascii="Times New Roman" w:hAnsi="Times New Roman" w:cs="Times New Roman"/>
          <w:sz w:val="28"/>
          <w:szCs w:val="28"/>
        </w:rPr>
        <w:t xml:space="preserve">, по з</w:t>
      </w:r>
      <w:r>
        <w:rPr>
          <w:rFonts w:ascii="Times New Roman" w:hAnsi="Times New Roman" w:cs="Times New Roman"/>
          <w:sz w:val="28"/>
          <w:szCs w:val="28"/>
        </w:rPr>
        <w:t xml:space="preserve">абезпеченн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 xml:space="preserve">діяльності музеїв і виставок</w:t>
      </w:r>
      <w:r>
        <w:rPr>
          <w:rFonts w:ascii="Times New Roman" w:hAnsi="Times New Roman" w:cs="Times New Roman"/>
          <w:sz w:val="28"/>
          <w:szCs w:val="28"/>
        </w:rPr>
        <w:t xml:space="preserve"> в сумі 7460,00 грн. (в частині видатків на оплату послуг в сумі 5000,00 грн., видатки на відрядження в сумі 600,00 грн., на оплату інших енергоносіїв в сумі 1860,00 грн.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numPr>
          <w:ilvl w:val="0"/>
          <w:numId w:val="7"/>
        </w:numPr>
        <w:pBdr/>
        <w:tabs>
          <w:tab w:val="left" w:leader="none" w:pos="850"/>
        </w:tabs>
        <w:spacing w:after="0" w:afterAutospacing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біль</w:t>
      </w:r>
      <w:r>
        <w:rPr>
          <w:rFonts w:ascii="Times New Roman" w:hAnsi="Times New Roman" w:cs="Times New Roman"/>
          <w:sz w:val="28"/>
          <w:szCs w:val="28"/>
        </w:rPr>
        <w:t xml:space="preserve">шити річну суму кошторисних призначень </w:t>
      </w:r>
      <w:r>
        <w:rPr>
          <w:rFonts w:ascii="Times New Roman" w:hAnsi="Times New Roman" w:cs="Times New Roman"/>
          <w:sz w:val="28"/>
          <w:szCs w:val="28"/>
        </w:rPr>
        <w:t xml:space="preserve">спеціального фонду </w:t>
      </w:r>
      <w:r>
        <w:rPr>
          <w:rFonts w:ascii="Times New Roman" w:hAnsi="Times New Roman" w:cs="Times New Roman"/>
          <w:sz w:val="28"/>
          <w:szCs w:val="28"/>
        </w:rPr>
        <w:t xml:space="preserve">по забезпеченню діяльності бібліотек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частині видатків на придбання обладнання і предметів довгострокового користування в сумі </w:t>
      </w:r>
      <w:r>
        <w:rPr>
          <w:rFonts w:ascii="Times New Roman" w:hAnsi="Times New Roman" w:cs="Times New Roman"/>
          <w:sz w:val="28"/>
          <w:szCs w:val="28"/>
        </w:rPr>
        <w:t xml:space="preserve">13460</w:t>
      </w:r>
      <w:r>
        <w:rPr>
          <w:rFonts w:ascii="Times New Roman" w:hAnsi="Times New Roman" w:cs="Times New Roman"/>
          <w:sz w:val="28"/>
          <w:szCs w:val="28"/>
        </w:rPr>
        <w:t xml:space="preserve">,00 грн. (для поповнення бібліотечних фондів, передплата періодичних видань)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pBdr/>
        <w:tabs>
          <w:tab w:val="left" w:leader="none" w:pos="850"/>
        </w:tabs>
        <w:spacing w:after="0" w:afterAutospacing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(КПКВК 1014030 КЕКВ 2240</w:t>
      </w:r>
      <w:r>
        <w:rPr>
          <w:rFonts w:ascii="Times New Roman" w:hAnsi="Times New Roman" w:cs="Times New Roman"/>
          <w:sz w:val="28"/>
          <w:szCs w:val="28"/>
        </w:rPr>
        <w:t xml:space="preserve">-600</w:t>
      </w:r>
      <w:r>
        <w:rPr>
          <w:rFonts w:ascii="Times New Roman" w:hAnsi="Times New Roman" w:cs="Times New Roman"/>
          <w:sz w:val="28"/>
          <w:szCs w:val="28"/>
        </w:rPr>
        <w:t xml:space="preserve">0,00 грн.</w:t>
      </w:r>
      <w:r>
        <w:rPr>
          <w:rFonts w:ascii="Times New Roman" w:hAnsi="Times New Roman" w:cs="Times New Roman"/>
          <w:sz w:val="28"/>
          <w:szCs w:val="28"/>
        </w:rPr>
        <w:t xml:space="preserve">, КПКВК 1014040 КЕКВ 2240-5000,00 грн., КЕКВ 2250-600,00 грн., КЕКВ 2275-1860,00 грн., КПКВК 1014030 КЕКВ 3110+13460,00 грн.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інансового управління                                Алла НЕРОСЛИК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73924340"/>
      <w:docPartObj>
        <w:docPartGallery w:val="Page Numbers (Top of Page)"/>
        <w:docPartUnique w:val="true"/>
      </w:docPartObj>
      <w:rPr/>
    </w:sdtPr>
    <w:sdtContent>
      <w:p>
        <w:pPr>
          <w:pStyle w:val="744"/>
          <w:pBdr/>
          <w:spacing/>
          <w:ind/>
          <w:jc w:val="center"/>
          <w:rPr/>
        </w:pPr>
        <w:r>
          <w:t xml:space="preserve">Сторінка </w:t>
        </w:r>
        <w:r>
          <w:rPr>
            <w:sz w:val="24"/>
            <w:szCs w:val="24"/>
          </w:rPr>
          <w:fldChar w:fldCharType="begin"/>
        </w:r>
        <w:r>
          <w:instrText xml:space="preserve">PAGE</w:instrText>
        </w:r>
        <w:r>
          <w:rPr>
            <w:sz w:val="24"/>
            <w:szCs w:val="24"/>
          </w:rPr>
          <w:fldChar w:fldCharType="separate"/>
        </w:r>
        <w:r>
          <w:t xml:space="preserve">11</w:t>
        </w:r>
        <w:r>
          <w:rPr>
            <w:sz w:val="24"/>
            <w:szCs w:val="24"/>
          </w:rPr>
          <w:fldChar w:fldCharType="end"/>
        </w:r>
        <w:r>
          <w:t xml:space="preserve"> з </w:t>
        </w:r>
        <w:r>
          <w:rPr>
            <w:sz w:val="24"/>
            <w:szCs w:val="24"/>
          </w:rPr>
          <w:fldChar w:fldCharType="begin"/>
        </w:r>
        <w:r>
          <w:instrText xml:space="preserve">NUMPAGES</w:instrText>
        </w:r>
        <w:r>
          <w:rPr>
            <w:sz w:val="24"/>
            <w:szCs w:val="24"/>
          </w:rPr>
          <w:fldChar w:fldCharType="separate"/>
        </w:r>
        <w:r>
          <w:t xml:space="preserve">11</w:t>
        </w:r>
        <w:r>
          <w:rPr>
            <w:sz w:val="24"/>
            <w:szCs w:val="24"/>
          </w:rPr>
          <w:fldChar w:fldCharType="end"/>
        </w:r>
        <w:r/>
      </w:p>
    </w:sdtContent>
  </w:sdt>
  <w:p>
    <w:pPr>
      <w:pStyle w:val="74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cs="Times New Roman" w:eastAsiaTheme="minorHAnsi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cs="Times New Roman" w:eastAsiaTheme="minorHAnsi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cs="Times New Roman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9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786"/>
      </w:pPr>
      <w:rPr>
        <w:rFonts w:hint="default" w:ascii="Times New Roman" w:hAnsi="Times New Roman" w:cs="Times New Roman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7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9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1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3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95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7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9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13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cs="Times New Roman" w:eastAsiaTheme="minorHAnsi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cs="Times New Roman" w:eastAsiaTheme="minorHAnsi"/>
      </w:rPr>
      <w:start w:val="2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cs="Times New Roman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cs="Times New Roman" w:eastAsiaTheme="minorHAnsi"/>
      </w:rPr>
      <w:start w:val="7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13"/>
  </w:num>
  <w:num w:numId="5">
    <w:abstractNumId w:val="6"/>
  </w:num>
  <w:num w:numId="6">
    <w:abstractNumId w:val="7"/>
  </w:num>
  <w:num w:numId="7">
    <w:abstractNumId w:val="15"/>
  </w:num>
  <w:num w:numId="8">
    <w:abstractNumId w:val="9"/>
  </w:num>
  <w:num w:numId="9">
    <w:abstractNumId w:val="8"/>
  </w:num>
  <w:num w:numId="10">
    <w:abstractNumId w:val="17"/>
  </w:num>
  <w:num w:numId="11">
    <w:abstractNumId w:val="1"/>
  </w:num>
  <w:num w:numId="12">
    <w:abstractNumId w:val="12"/>
  </w:num>
  <w:num w:numId="13">
    <w:abstractNumId w:val="18"/>
  </w:num>
  <w:num w:numId="14">
    <w:abstractNumId w:val="16"/>
  </w:num>
  <w:num w:numId="15">
    <w:abstractNumId w:val="5"/>
  </w:num>
  <w:num w:numId="16">
    <w:abstractNumId w:val="0"/>
  </w:num>
  <w:num w:numId="17">
    <w:abstractNumId w:val="10"/>
  </w:num>
  <w:num w:numId="18">
    <w:abstractNumId w:val="14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3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36"/>
    <w:next w:val="736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36"/>
    <w:next w:val="736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36"/>
    <w:next w:val="73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36"/>
    <w:next w:val="736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36"/>
    <w:next w:val="73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36"/>
    <w:next w:val="736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36"/>
    <w:next w:val="73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36"/>
    <w:next w:val="736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36"/>
    <w:next w:val="736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3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3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3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3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3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3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3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3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3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36"/>
    <w:next w:val="736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3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37"/>
    <w:link w:val="7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36"/>
    <w:next w:val="736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3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36"/>
    <w:next w:val="736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3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36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3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3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3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37"/>
    <w:link w:val="744"/>
    <w:uiPriority w:val="99"/>
    <w:pPr>
      <w:pBdr/>
      <w:spacing/>
      <w:ind/>
    </w:pPr>
  </w:style>
  <w:style w:type="character" w:styleId="178">
    <w:name w:val="Footer Char"/>
    <w:basedOn w:val="737"/>
    <w:link w:val="746"/>
    <w:uiPriority w:val="99"/>
    <w:pPr>
      <w:pBdr/>
      <w:spacing/>
      <w:ind/>
    </w:pPr>
  </w:style>
  <w:style w:type="paragraph" w:styleId="179">
    <w:name w:val="Caption"/>
    <w:basedOn w:val="736"/>
    <w:next w:val="73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36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3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3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36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3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3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36"/>
    <w:next w:val="736"/>
    <w:uiPriority w:val="99"/>
    <w:unhideWhenUsed/>
    <w:pPr>
      <w:pBdr/>
      <w:spacing w:after="0" w:afterAutospacing="0"/>
      <w:ind/>
    </w:pPr>
  </w:style>
  <w:style w:type="paragraph" w:styleId="736" w:default="1">
    <w:name w:val="Normal"/>
    <w:qFormat/>
    <w:pPr>
      <w:pBdr/>
      <w:spacing/>
      <w:ind/>
    </w:pPr>
  </w:style>
  <w:style w:type="character" w:styleId="737" w:default="1">
    <w:name w:val="Default Paragraph Font"/>
    <w:uiPriority w:val="1"/>
    <w:semiHidden/>
    <w:unhideWhenUsed/>
    <w:pPr>
      <w:pBdr/>
      <w:spacing/>
      <w:ind/>
    </w:pPr>
  </w:style>
  <w:style w:type="table" w:styleId="73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9" w:default="1">
    <w:name w:val="No List"/>
    <w:uiPriority w:val="99"/>
    <w:semiHidden/>
    <w:unhideWhenUsed/>
    <w:pPr>
      <w:pBdr/>
      <w:spacing/>
      <w:ind/>
    </w:pPr>
  </w:style>
  <w:style w:type="paragraph" w:styleId="740" w:customStyle="1">
    <w:name w:val="Default"/>
    <w:pPr>
      <w:pBdr/>
      <w:spacing w:after="0" w:line="240" w:lineRule="auto"/>
      <w:ind/>
    </w:pPr>
    <w:rPr>
      <w:rFonts w:ascii="Times New Roman" w:hAnsi="Times New Roman" w:cs="Times New Roman"/>
      <w:color w:val="000000"/>
      <w:sz w:val="24"/>
      <w:szCs w:val="24"/>
    </w:rPr>
  </w:style>
  <w:style w:type="paragraph" w:styleId="741">
    <w:name w:val="List Paragraph"/>
    <w:basedOn w:val="736"/>
    <w:uiPriority w:val="34"/>
    <w:qFormat/>
    <w:pPr>
      <w:pBdr/>
      <w:spacing/>
      <w:ind w:left="720"/>
      <w:contextualSpacing w:val="true"/>
    </w:pPr>
  </w:style>
  <w:style w:type="paragraph" w:styleId="742">
    <w:name w:val="Subtitle"/>
    <w:basedOn w:val="736"/>
    <w:next w:val="736"/>
    <w:link w:val="743"/>
    <w:uiPriority w:val="11"/>
    <w:qFormat/>
    <w:pPr>
      <w:numPr>
        <w:ilvl w:val="1"/>
      </w:numPr>
      <w:pBdr/>
      <w:spacing w:after="160"/>
      <w:ind/>
    </w:pPr>
    <w:rPr>
      <w:rFonts w:eastAsiaTheme="minorEastAsia"/>
      <w:color w:val="5a5a5a" w:themeColor="text1" w:themeTint="A5"/>
      <w:spacing w:val="15"/>
    </w:rPr>
  </w:style>
  <w:style w:type="character" w:styleId="743" w:customStyle="1">
    <w:name w:val="Підзаголовок Знак"/>
    <w:basedOn w:val="737"/>
    <w:link w:val="742"/>
    <w:uiPriority w:val="11"/>
    <w:pPr>
      <w:pBdr/>
      <w:spacing/>
      <w:ind/>
    </w:pPr>
    <w:rPr>
      <w:rFonts w:eastAsiaTheme="minorEastAsia"/>
      <w:color w:val="5a5a5a" w:themeColor="text1" w:themeTint="A5"/>
      <w:spacing w:val="15"/>
    </w:rPr>
  </w:style>
  <w:style w:type="paragraph" w:styleId="744">
    <w:name w:val="Header"/>
    <w:basedOn w:val="736"/>
    <w:link w:val="745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745" w:customStyle="1">
    <w:name w:val="Верхній колонтитул Знак"/>
    <w:basedOn w:val="737"/>
    <w:link w:val="744"/>
    <w:uiPriority w:val="99"/>
    <w:pPr>
      <w:pBdr/>
      <w:spacing/>
      <w:ind/>
    </w:pPr>
  </w:style>
  <w:style w:type="paragraph" w:styleId="746">
    <w:name w:val="Footer"/>
    <w:basedOn w:val="736"/>
    <w:link w:val="747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747" w:customStyle="1">
    <w:name w:val="Нижній колонтитул Знак"/>
    <w:basedOn w:val="737"/>
    <w:link w:val="746"/>
    <w:uiPriority w:val="99"/>
    <w:pPr>
      <w:pBdr/>
      <w:spacing/>
      <w:ind/>
    </w:pPr>
  </w:style>
  <w:style w:type="paragraph" w:styleId="748">
    <w:name w:val="Normal (Web)"/>
    <w:basedOn w:val="736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04FC4-5974-44E6-9949-EBFC04EA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СТАЛЬНИЧЕНКО Юрій Валерійович</cp:lastModifiedBy>
  <cp:revision>508</cp:revision>
  <dcterms:created xsi:type="dcterms:W3CDTF">2023-11-02T21:27:00Z</dcterms:created>
  <dcterms:modified xsi:type="dcterms:W3CDTF">2024-10-21T15:30:42Z</dcterms:modified>
</cp:coreProperties>
</file>