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 w:right="3" w:left="5812"/>
        <w:rPr>
          <w:rFonts w:ascii="Times New Roman" w:hAnsi="Times New Roman" w:eastAsia="Times New Roman" w:cs="Times New Roman"/>
          <w:sz w:val="24"/>
          <w:szCs w:val="24"/>
          <w:lang w:val="uk-UA"/>
        </w:rPr>
      </w:pP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Додаток до рішення 52 сесії Менської міської ради восьмого скликання від 27 вересня №491</w:t>
      </w:r>
      <w:r>
        <w:rPr>
          <w:rFonts w:ascii="Times New Roman" w:hAnsi="Times New Roman" w:eastAsia="Times New Roman" w:cs="Times New Roman"/>
          <w:sz w:val="24"/>
          <w:szCs w:val="24"/>
          <w:lang w:val="uk-UA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СХВАЛЕНО</w:t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ЗАТВЕРДЖЕНО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1006" w:left="-141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Рішення Педагогічної ради</w:t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Рішення 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 xml:space="preserve">52 сесії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</w:r>
    </w:p>
    <w:p>
      <w:pPr>
        <w:pBdr/>
        <w:spacing/>
        <w:ind w:right="-1006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Опорного закладу Менська гімназія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Менської міської ради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Менської міської ради</w:t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 xml:space="preserve">                                       </w:t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восьмого  скликання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від 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val="uk-UA"/>
        </w:rPr>
        <w:t xml:space="preserve">25 липня </w:t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  <w:t xml:space="preserve">2024р. №</w:t>
      </w:r>
      <w:r>
        <w:rPr>
          <w:rFonts w:ascii="Times New Roman" w:hAnsi="Times New Roman" w:eastAsia="Times New Roman" w:cs="Times New Roman"/>
          <w:sz w:val="28"/>
          <w:szCs w:val="28"/>
          <w:u w:val="single"/>
          <w:lang w:val="uk-UA"/>
        </w:rPr>
        <w:t xml:space="preserve"> 11</w:t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  <w:t xml:space="preserve">від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 xml:space="preserve"> 27 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 xml:space="preserve">вересня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2024р. №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  <w:t xml:space="preserve">491</w:t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ОГОДЖЕНО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Начальник Відділу освіти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Менської міської ради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______Ірина ЛУК’ЯНЕНКО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СТРАТЕГІЯ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розвитку Опорного закладу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Менська гімназія Менської міської ради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на 2025-2029 роки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ЗМІСТ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Перелік скорочень....................................................................................... 3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Вступ............................................................................................................ 4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Методологія та опис розроблення 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тратегії розвитку............................. 5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Візитівка закладу освіти............................................................................ 10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SWOT-аналіз закладу освіти……............................................................. 13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Цінності,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місія,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візія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закладу освіти......................................................... 16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Стратегічні, оперативні цілі, завдання розвитку закладу освіти……... 17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Додаток. Перспективний план впровадження Стратегії розвитку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закладу освіти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5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ПЕРЕЛІК СКОРОЧЕНЬ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Gungsuh" w:hAnsi="Gungsuh" w:eastAsia="Gungsuh" w:cs="Gungsuh"/>
          <w:sz w:val="28"/>
          <w:szCs w:val="28"/>
        </w:rPr>
        <w:t xml:space="preserve">Заклад освіти − Опорний заклад Менська гімназія Менської міської ради.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5" w:left="-14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Gungsuh" w:hAnsi="Gungsuh" w:eastAsia="Gungsuh" w:cs="Gungsuh"/>
          <w:sz w:val="28"/>
          <w:szCs w:val="28"/>
        </w:rPr>
        <w:t xml:space="preserve">НАССР − система аналізу ризиків, небезпечних чинників і контролю критичних точок (</w:t>
      </w:r>
      <w:r>
        <w:rPr>
          <w:rFonts w:ascii="Gungsuh" w:hAnsi="Gungsuh" w:eastAsia="Gungsuh" w:cs="Gungsuh"/>
          <w:sz w:val="28"/>
          <w:szCs w:val="28"/>
        </w:rPr>
        <w:t xml:space="preserve">англ</w:t>
      </w:r>
      <w:r>
        <w:rPr>
          <w:rFonts w:ascii="Gungsuh" w:hAnsi="Gungsuh" w:eastAsia="Gungsuh" w:cs="Gungsuh"/>
          <w:sz w:val="28"/>
          <w:szCs w:val="28"/>
        </w:rPr>
        <w:t xml:space="preserve">. </w:t>
      </w:r>
      <w:r>
        <w:rPr>
          <w:rFonts w:ascii="Gungsuh" w:hAnsi="Gungsuh" w:eastAsia="Gungsuh" w:cs="Gungsuh"/>
          <w:sz w:val="28"/>
          <w:szCs w:val="28"/>
        </w:rPr>
        <w:t xml:space="preserve">Hazard</w:t>
      </w:r>
      <w:r>
        <w:rPr>
          <w:rFonts w:ascii="Gungsuh" w:hAnsi="Gungsuh" w:eastAsia="Gungsuh" w:cs="Gungsuh"/>
          <w:sz w:val="28"/>
          <w:szCs w:val="28"/>
        </w:rPr>
        <w:t xml:space="preserve"> </w:t>
      </w:r>
      <w:r>
        <w:rPr>
          <w:rFonts w:ascii="Gungsuh" w:hAnsi="Gungsuh" w:eastAsia="Gungsuh" w:cs="Gungsuh"/>
          <w:sz w:val="28"/>
          <w:szCs w:val="28"/>
        </w:rPr>
        <w:t xml:space="preserve">Analysis</w:t>
      </w:r>
      <w:r>
        <w:rPr>
          <w:rFonts w:ascii="Gungsuh" w:hAnsi="Gungsuh" w:eastAsia="Gungsuh" w:cs="Gungsuh"/>
          <w:sz w:val="28"/>
          <w:szCs w:val="28"/>
        </w:rPr>
        <w:t xml:space="preserve"> </w:t>
      </w:r>
      <w:r>
        <w:rPr>
          <w:rFonts w:ascii="Gungsuh" w:hAnsi="Gungsuh" w:eastAsia="Gungsuh" w:cs="Gungsuh"/>
          <w:sz w:val="28"/>
          <w:szCs w:val="28"/>
        </w:rPr>
        <w:t xml:space="preserve">and</w:t>
      </w:r>
      <w:r>
        <w:rPr>
          <w:rFonts w:ascii="Gungsuh" w:hAnsi="Gungsuh" w:eastAsia="Gungsuh" w:cs="Gungsuh"/>
          <w:sz w:val="28"/>
          <w:szCs w:val="28"/>
        </w:rPr>
        <w:t xml:space="preserve"> </w:t>
      </w:r>
      <w:r>
        <w:rPr>
          <w:rFonts w:ascii="Gungsuh" w:hAnsi="Gungsuh" w:eastAsia="Gungsuh" w:cs="Gungsuh"/>
          <w:sz w:val="28"/>
          <w:szCs w:val="28"/>
        </w:rPr>
        <w:t xml:space="preserve">Critical</w:t>
      </w:r>
      <w:r>
        <w:rPr>
          <w:rFonts w:ascii="Gungsuh" w:hAnsi="Gungsuh" w:eastAsia="Gungsuh" w:cs="Gungsuh"/>
          <w:sz w:val="28"/>
          <w:szCs w:val="28"/>
        </w:rPr>
        <w:t xml:space="preserve"> </w:t>
      </w:r>
      <w:r>
        <w:rPr>
          <w:rFonts w:ascii="Gungsuh" w:hAnsi="Gungsuh" w:eastAsia="Gungsuh" w:cs="Gungsuh"/>
          <w:sz w:val="28"/>
          <w:szCs w:val="28"/>
        </w:rPr>
        <w:t xml:space="preserve">Control</w:t>
      </w:r>
      <w:r>
        <w:rPr>
          <w:rFonts w:ascii="Gungsuh" w:hAnsi="Gungsuh" w:eastAsia="Gungsuh" w:cs="Gungsuh"/>
          <w:sz w:val="28"/>
          <w:szCs w:val="28"/>
        </w:rPr>
        <w:t xml:space="preserve"> </w:t>
      </w:r>
      <w:r>
        <w:rPr>
          <w:rFonts w:ascii="Gungsuh" w:hAnsi="Gungsuh" w:eastAsia="Gungsuh" w:cs="Gungsuh"/>
          <w:sz w:val="28"/>
          <w:szCs w:val="28"/>
        </w:rPr>
        <w:t xml:space="preserve">Point</w:t>
      </w:r>
      <w:r>
        <w:rPr>
          <w:rFonts w:ascii="Gungsuh" w:hAnsi="Gungsuh" w:eastAsia="Gungsuh" w:cs="Gungsuh"/>
          <w:sz w:val="28"/>
          <w:szCs w:val="28"/>
        </w:rPr>
        <w:t xml:space="preserve">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Gungsuh" w:hAnsi="Gungsuh" w:eastAsia="Gungsuh" w:cs="Gungsuh"/>
          <w:sz w:val="28"/>
          <w:szCs w:val="28"/>
        </w:rPr>
        <w:t xml:space="preserve">НУШ − Нова українська школа. 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Gungsuh" w:hAnsi="Gungsuh" w:eastAsia="Gungsuh" w:cs="Gungsuh"/>
          <w:sz w:val="28"/>
          <w:szCs w:val="28"/>
        </w:rPr>
        <w:t xml:space="preserve">ООП − особливі освітні потреби.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136" w:left="-14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Gungsuh" w:hAnsi="Gungsuh" w:eastAsia="Gungsuh" w:cs="Gungsuh"/>
          <w:sz w:val="28"/>
          <w:szCs w:val="28"/>
        </w:rPr>
        <w:t xml:space="preserve">Робоча група − робоча група з розроблення </w:t>
      </w:r>
      <w:r>
        <w:rPr>
          <w:rFonts w:ascii="Gungsuh" w:hAnsi="Gungsuh" w:eastAsia="Gungsuh" w:cs="Gungsuh"/>
          <w:sz w:val="28"/>
          <w:szCs w:val="28"/>
        </w:rPr>
        <w:t xml:space="preserve">проєктів</w:t>
      </w:r>
      <w:r>
        <w:rPr>
          <w:rFonts w:ascii="Gungsuh" w:hAnsi="Gungsuh" w:eastAsia="Gungsuh" w:cs="Gungsuh"/>
          <w:sz w:val="28"/>
          <w:szCs w:val="28"/>
        </w:rPr>
        <w:t xml:space="preserve"> Стратегії розвитку та Перспективного плану її впровадження в Опорному закладі Менська гімназія Менської міської ради.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5" w:left="-14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Gungsuh" w:hAnsi="Gungsuh" w:eastAsia="Gungsuh" w:cs="Gungsuh"/>
          <w:sz w:val="28"/>
          <w:szCs w:val="28"/>
        </w:rPr>
        <w:t xml:space="preserve">Стратегія розвитку − Стра</w:t>
      </w:r>
      <w:r>
        <w:rPr>
          <w:rFonts w:ascii="Gungsuh" w:hAnsi="Gungsuh" w:eastAsia="Gungsuh" w:cs="Gungsuh"/>
          <w:sz w:val="28"/>
          <w:szCs w:val="28"/>
        </w:rPr>
        <w:t xml:space="preserve">тегія розвитку Опорного закладу Менська гімназія Менської міської ради.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ВСТУП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 w:right="5" w:firstLine="566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Пріоритетним напрямком розвитку освіти в Україні є забезпечення рівного доступу до якісної освіти, що базується на створенні інклюзивного, безпечного та комфортного освітнього середовища. Цей процес спирається на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компетентнісний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і особистісно орієнтований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підходи до навчання, ціннісний підхід до виховання, враховує вікові особливості психофізичного розвитку дитини на кожному рівні освіти, а також орієнтується на</w:t>
      </w:r>
      <w:r>
        <w:rPr>
          <w:rFonts w:ascii="Roboto" w:hAnsi="Roboto" w:eastAsia="Roboto" w:cs="Roboto"/>
          <w:color w:val="444746"/>
          <w:sz w:val="21"/>
          <w:szCs w:val="21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здобуття знань та формування навичок, необхідних учням/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еницям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для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успішної самореалізації у проф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есійній діяльності, особистому житті та громадській активності.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/>
        <w:spacing/>
        <w:ind w:right="5" w:firstLine="566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Основна мета діяльності закладу освіти полягає в безперервному підвищенні ефективності освітнього процесу з урахуванням потреб суспільства та особистості учня/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ениці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. Це досягається через впров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адження новітніх досягнень педагогіки та психології, використання інноваційних освітніх технологій,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цифровізацію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освітнього процесу.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/>
        <w:spacing/>
        <w:ind w:right="5" w:firstLine="566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Таким чином, освітній процес має бути спрямований на формування у випускників/випускниць якостей, необхідних для життєвого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та професійного самовизначення, а саме: вільне володіння державною мовою, активне використання іноземної мови,  високий рівень цифрової грамотності, здатність до самопізнання та саморозвитку, ініціативність та готовність брати на себе відповідальність за 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ласні рішення, усвідомлення ідей демократії, рівності та прав людини, навички дбайливого ставлення до власного здоров’я і дотримання здорового способу життя, високий рівень освіченості та культури.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/>
        <w:spacing/>
        <w:ind w:right="5" w:firstLine="566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Зважаючи на вищезазначене, педагогічний колектив Опорного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закладу Менської гімназії Менської міської ради (далі </w:t>
      </w: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заклад освіти), орієнтуючись на необхідність якісного оновлення змісту освіти та освітнього процесу згідно чинного законодавства, усвідомлює необхідність привести освітні послуги, які надає, у відпові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дність із європейськими стандартами. З огляду на це було вирішено розробити Стратегію розвитку закладу освіти на 202</w:t>
      </w:r>
      <w:r>
        <w:rPr>
          <w:rFonts w:ascii="Times New Roman" w:hAnsi="Times New Roman" w:eastAsia="Times New Roman" w:cs="Times New Roman"/>
          <w:color w:val="0d0d0d"/>
          <w:sz w:val="28"/>
          <w:szCs w:val="28"/>
          <w:lang w:val="uk-UA"/>
        </w:rPr>
        <w:t xml:space="preserve">5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-202</w:t>
      </w:r>
      <w:r>
        <w:rPr>
          <w:rFonts w:ascii="Times New Roman" w:hAnsi="Times New Roman" w:eastAsia="Times New Roman" w:cs="Times New Roman"/>
          <w:color w:val="0d0d0d"/>
          <w:sz w:val="28"/>
          <w:szCs w:val="28"/>
          <w:lang w:val="uk-UA"/>
        </w:rPr>
        <w:t xml:space="preserve">9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роки.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/>
        <w:spacing/>
        <w:ind w:right="5"/>
        <w:jc w:val="both"/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ab/>
        <w:t xml:space="preserve">Стратегія розвитку </w:t>
      </w: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Опорного закладу Менська гімназія Менської міської ради</w:t>
      </w: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 розроблена за експертної та організаційної підтрим</w:t>
      </w: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ки швейцарсько-українського </w:t>
      </w: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проєкту</w:t>
      </w: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 ,,DECIDE – Децентралізація для розвитку демократичної освіти”, що впроваджується в Україні Консорціумом у складі ГО ,,DOCCU” та Цюріхського педагогічного університету за підтримки Швейцарії.</w:t>
      </w: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</w:r>
    </w:p>
    <w:p>
      <w:pPr>
        <w:keepLines w:val="tru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 w:before="300"/>
        <w:ind/>
        <w:jc w:val="both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       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keepLines w:val="tru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 w:before="300"/>
        <w:ind/>
        <w:jc w:val="both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keepLines w:val="tru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 w:before="300"/>
        <w:ind/>
        <w:jc w:val="both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keepLines w:val="tru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 w:before="300"/>
        <w:ind/>
        <w:jc w:val="both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keepLines w:val="tru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 w:before="300"/>
        <w:ind/>
        <w:jc w:val="center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МЕТОДОЛОГІЯ ТА ОПИС РОЗРОБЛЕННЯ СТРАТЕГІЇ РОЗВИТКУ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keepLines w:val="tru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 w:before="300"/>
        <w:ind w:firstLine="566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Стратегію розвитку Опорного закладу Менська гімназія Менської міської ради (далі </w:t>
      </w: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Стратегія розвитку)  розроблено відповідно до Законів України "Про освіту", "Про повну загальну середню освіту" зі змінами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від </w:t>
      </w:r>
      <w:r>
        <w:rPr>
          <w:rFonts w:ascii="Times New Roman" w:hAnsi="Times New Roman" w:eastAsia="Times New Roman" w:cs="Times New Roman"/>
          <w:color w:val="333333"/>
          <w:sz w:val="28"/>
          <w:szCs w:val="28"/>
          <w:highlight w:val="white"/>
        </w:rPr>
        <w:t xml:space="preserve">16 січня 2020 року № 463-IX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, розпорядження Кабінету Міністрів України від 14 грудня 2016 р. № 988-р "Про схвалення Концепції реалізації державної політики у сфері реформування загальної середньої освіти 'Нова українська школа' на період до 2029 року", постанови Кабінету Міністрів Ук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раїни від 30 грудня 2015 р. № 1187 "Про затвердження Ліцензійних умов провадження освітньої діяльності", чинних державних стандартів загальної середньої освіти та інших нормативно-правових актів, що регулюють діяльність закладів загальної середньої освіти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з урахуванням європейського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вектора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розвитку освіти України,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стратегічних документів у галузі освіти</w:t>
      </w:r>
      <w:r>
        <w:rPr>
          <w:rFonts w:ascii="Roboto" w:hAnsi="Roboto" w:eastAsia="Roboto" w:cs="Roboto"/>
          <w:color w:val="444746"/>
          <w:sz w:val="21"/>
          <w:szCs w:val="21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України та науково-обґрунтованих підходів до функціонування закладів загальної середньої освіти.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keepLines w:val="tru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 w:before="30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У процесі розроблення Стратегії розвитку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були дотримані пр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инципи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: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4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Прозорість та публічність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– усі етапи розроблення Стратегії розвитку супроводжувалися інформаційною компанією на офіційному сайті закладу освіти та в соціальних мережах, проводилися відкриті інформаційні заходи для вивчення думок усіх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стейкхолдерів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та отримання зворотного зв’язку.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Демократія і права людини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– забезпечувалося право всіх учасників/учасниць освітнього процесу на добровільну участь у всіх заходах, самостійність у виборі інструментів роботи та їх адаптацію до реальних умов.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Уніфікація критеріїв та індикаторів розвитку ос</w:t>
      </w: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віти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– використання єдиних стандартів оцінки ефективності освітнього процесу.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Партисипація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– залучення всіх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стейкхолдерів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(учнів/учениць, батьків, педагогічних та непедагогічних працівників/працівниць, представників/представниць відділу освіти Менської міс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ької ради) до значущої, різноманітної, продуктивної діяльності, ухвалення та реалізації рішень.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i/>
          <w:color w:val="0d0d0d"/>
          <w:sz w:val="28"/>
          <w:szCs w:val="28"/>
        </w:rPr>
        <w:t xml:space="preserve">Гендерна рівність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– забезпечення рівних можливостей для всіх учасників/учасниць освітнього процесу.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4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Узгодженість із потребами освітніх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стейкхолдерів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із освітнім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контекстом.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4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Принципи використані під час розроблення документа допомогли забезпечити ефективну роботу над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проєктом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Стратегії розвитку.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 w:firstLine="720"/>
        <w:jc w:val="both"/>
        <w:rPr>
          <w:rFonts w:ascii="Times New Roman" w:hAnsi="Times New Roman" w:eastAsia="Times New Roman" w:cs="Times New Roman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</w:r>
    </w:p>
    <w:p>
      <w:pPr>
        <w:pStyle w:val="764"/>
        <w:keepNext w:val="false"/>
        <w:keepLines w:val="fals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920" w:before="0" w:line="266" w:lineRule="auto"/>
        <w:ind w:firstLine="720"/>
        <w:jc w:val="center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/>
      <w:bookmarkStart w:id="0" w:name="_heading=h.gjdgxs"/>
      <w:r/>
      <w:bookmarkEnd w:id="0"/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Етапи роботи над Стратегією розвитку закладу освіти</w: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114300" distB="114300" distL="114300" distR="114300" simplePos="0" relativeHeight="251658240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333375</wp:posOffset>
                </wp:positionV>
                <wp:extent cx="2988787" cy="2238147"/>
                <wp:effectExtent l="0" t="0" r="0" b="0"/>
                <wp:wrapTopAndBottom/>
                <wp:docPr id="1" name="image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jpg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988787" cy="223814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58240;o:allowoverlap:true;o:allowincell:true;mso-position-horizontal-relative:text;margin-left:84.75pt;mso-position-horizontal:absolute;mso-position-vertical-relative:text;margin-top:26.25pt;mso-position-vertical:absolute;width:235.34pt;height:176.23pt;mso-wrap-distance-left:9.00pt;mso-wrap-distance-top:9.00pt;mso-wrap-distance-right:9.00pt;mso-wrap-distance-bottom:9.00pt;z-index:1;">
                <w10:wrap type="topAndBottom"/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Style w:val="764"/>
        <w:keepNext w:val="false"/>
        <w:keepLines w:val="fals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920" w:before="0" w:line="240" w:lineRule="auto"/>
        <w:ind w:firstLine="566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/>
      <w:bookmarkStart w:id="1" w:name="_heading=h.30j0zll"/>
      <w:r/>
      <w:bookmarkEnd w:id="1"/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Розроблення Стратегії розвитку здійснювалося за підтримки менторів поетапно відповідно до графіка робочого планера.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Style w:val="764"/>
        <w:keepNext w:val="false"/>
        <w:keepLines w:val="fals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920" w:before="0" w:line="240" w:lineRule="auto"/>
        <w:ind w:firstLine="566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/>
      <w:bookmarkStart w:id="2" w:name="_heading=h.5d7vnksxob1b"/>
      <w:r/>
      <w:bookmarkEnd w:id="2"/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1. Підготов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чий етап: формування робочої групи з розроблення Стратегії розвитку 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та Перспективного плану її впровадження.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53750" cy="2140313"/>
                <wp:effectExtent l="0" t="0" r="0" b="0"/>
                <wp:docPr id="2" name="image9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853750" cy="21403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224.70pt;height:168.53pt;mso-wrap-distance-left:0.00pt;mso-wrap-distance-top:0.00pt;mso-wrap-distance-right:0.00pt;mso-wrap-distance-bottom:0.00pt;z-index:1;">
                <v:imagedata r:id="rId14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74487" cy="2158191"/>
                <wp:effectExtent l="0" t="0" r="0" b="0"/>
                <wp:docPr id="3" name="image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jpg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874487" cy="21581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226.34pt;height:169.94pt;mso-wrap-distance-left:0.00pt;mso-wrap-distance-top:0.00pt;mso-wrap-distance-right:0.00pt;mso-wrap-distance-bottom:0.00pt;z-index:1;">
                <v:imagedata r:id="rId15" o:title=""/>
                <o:lock v:ext="edit" rotation="t"/>
              </v:shape>
            </w:pict>
          </mc:Fallback>
        </mc:AlternateContent>
      </w:r>
      <w:r/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1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Налагоджено комунікацію між усіма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стейкхолдерами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щодо розроблення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проєктів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Стратегії розвитку та Перспективного плану її впровадження.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Сформован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о робочу групу наказом керівника закладу освіти від 18.03.2024 року № 35 </w:t>
      </w:r>
      <w:hyperlink r:id="rId16" w:tooltip="https://drive.google.com/file/d/14AFu88BNDKPa2tPXp2nWpvW-uS6-6e0z/view" w:history="1">
        <w:r>
          <w:rPr>
            <w:color w:val="0000ee"/>
            <w:u w:val="single"/>
          </w:rPr>
          <w:t xml:space="preserve">Наказ від 18.03.2024 №35 Про створення робочої групи.pdf</w:t>
        </w:r>
      </w:hyperlink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, відповідальну за розроблення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проєкт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ів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Стратегії розвитку та Перспективного плану її впровадження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(далі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робоча група).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1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Створено розділ "Стратегія розвитку</w:t>
      </w:r>
      <w:hyperlink r:id="rId17" w:tooltip="http://mena-gymnasium.cn.sch.in.ua/strategiya_rozvitku_zakladu/" w:history="1">
        <w:r>
          <w:rPr>
            <w:rFonts w:ascii="Times New Roman" w:hAnsi="Times New Roman" w:eastAsia="Times New Roman" w:cs="Times New Roman"/>
            <w:sz w:val="28"/>
            <w:szCs w:val="28"/>
          </w:rPr>
          <w:t xml:space="preserve">" </w:t>
        </w:r>
      </w:hyperlink>
      <w:r/>
      <w:hyperlink r:id="rId18" w:tooltip="http://mena-gymnasium.cn.sch.in.ua/strategiya_rozvitku_zakladu/" w:history="1">
        <w:r>
          <w:rPr>
            <w:rFonts w:ascii="Times New Roman" w:hAnsi="Times New Roman" w:eastAsia="Times New Roman" w:cs="Times New Roman"/>
            <w:color w:val="1155cc"/>
            <w:sz w:val="28"/>
            <w:szCs w:val="28"/>
            <w:u w:val="single"/>
          </w:rPr>
          <w:t xml:space="preserve">http://mena-gymnasium.cn.sch.in.ua/strategiya_rozvitku_zakladu/</w:t>
        </w:r>
      </w:hyperlink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 на  офіційному сайті закладу освіти.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1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1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120"/>
        <w:ind w:firstLine="566"/>
        <w:jc w:val="both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2. Оцінювання та аналіз середовища і факторів розвитку закладу освіти.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52746" cy="2064560"/>
                <wp:effectExtent l="0" t="0" r="0" b="0"/>
                <wp:docPr id="4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752746" cy="20645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216.75pt;height:162.56pt;mso-wrap-distance-left:0.00pt;mso-wrap-distance-top:0.00pt;mso-wrap-distance-right:0.00pt;mso-wrap-distance-bottom:0.00pt;z-index:1;">
                <v:imagedata r:id="rId19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768516" cy="2078815"/>
                <wp:effectExtent l="0" t="0" r="0" b="0"/>
                <wp:docPr id="5" name="image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768516" cy="207881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217.99pt;height:163.69pt;mso-wrap-distance-left:0.00pt;mso-wrap-distance-top:0.00pt;mso-wrap-distance-right:0.00pt;mso-wrap-distance-bottom:0.00pt;z-index:1;">
                <v:imagedata r:id="rId20" o:title=""/>
                <o:lock v:ext="edit" rotation="t"/>
              </v:shape>
            </w:pict>
          </mc:Fallback>
        </mc:AlternateContent>
      </w:r>
      <w:r/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120"/>
        <w:ind w:firstLine="566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Підготовлено аналітичний Профіль закладу освіти.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Проведено опитування учасників/учасниць освітнього процесу (учнів/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ениць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, педагогічних працівників/працівниць, батьків) "Школа дієвої демократії".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Презентовано та обговорено Профіль закладу освіти та звіт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за результатами опитування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з урахуванням 14 тем якості Школи дієвої демократії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1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Проведено семінар з оцінювання, під час якого проаналізовано стартові умови (SWOT-аналіз) для стратегічного планування розвитку закладу освіти.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765"/>
        <w:keepNext w:val="false"/>
        <w:keepLines w:val="fals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80" w:before="0" w:line="319" w:lineRule="auto"/>
        <w:ind w:firstLine="566"/>
        <w:jc w:val="both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/>
      <w:bookmarkStart w:id="3" w:name="_heading=h.2et92p0"/>
      <w:r/>
      <w:bookmarkEnd w:id="3"/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3. Визначення цінностей, місії, </w:t>
      </w:r>
      <w:r>
        <w:rPr>
          <w:rFonts w:ascii="Times New Roman" w:hAnsi="Times New Roman" w:eastAsia="Times New Roman" w:cs="Times New Roman"/>
          <w:b/>
          <w:sz w:val="28"/>
          <w:szCs w:val="28"/>
          <w:highlight w:val="white"/>
        </w:rPr>
        <w:t xml:space="preserve">стратегічного бачення (візії)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, розроблення стратегічних напрямів та оперативних цілей розвитку, обговорення 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проєкту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 Стратегії розвитку.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64325" cy="1403552"/>
                <wp:effectExtent l="0" t="0" r="0" b="0"/>
                <wp:docPr id="6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/>
                        <pic:nvPr/>
                      </pic:nvPicPr>
                      <pic:blipFill>
                        <a:blip r:embed="rId21"/>
                        <a:srcRect l="0" t="9600" r="2046" b="5406"/>
                        <a:stretch/>
                      </pic:blipFill>
                      <pic:spPr bwMode="auto">
                        <a:xfrm>
                          <a:off x="0" y="0"/>
                          <a:ext cx="2864325" cy="140355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225.54pt;height:110.52pt;mso-wrap-distance-left:0.00pt;mso-wrap-distance-top:0.00pt;mso-wrap-distance-right:0.00pt;mso-wrap-distance-bottom:0.00pt;z-index:1;">
                <v:imagedata r:id="rId21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95600" cy="1406323"/>
                <wp:effectExtent l="0" t="0" r="0" b="0"/>
                <wp:docPr id="7" name="image10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/>
                        <pic:cNvPicPr/>
                        <pic:nvPr/>
                      </pic:nvPicPr>
                      <pic:blipFill>
                        <a:blip r:embed="rId22"/>
                        <a:srcRect l="0" t="9149" r="0" b="4310"/>
                        <a:stretch/>
                      </pic:blipFill>
                      <pic:spPr bwMode="auto">
                        <a:xfrm>
                          <a:off x="0" y="0"/>
                          <a:ext cx="2895600" cy="14063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228.00pt;height:110.73pt;mso-wrap-distance-left:0.00pt;mso-wrap-distance-top:0.00pt;mso-wrap-distance-right:0.00pt;mso-wrap-distance-bottom:0.00pt;z-index:1;">
                <v:imagedata r:id="rId22" o:title=""/>
                <o:lock v:ext="edit" rotation="t"/>
              </v:shape>
            </w:pict>
          </mc:Fallback>
        </mc:AlternateContent>
      </w:r>
      <w:r/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1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Проведена стратегічна сесія, де</w:t>
      </w:r>
      <w:r>
        <w:rPr>
          <w:rFonts w:ascii="Roboto" w:hAnsi="Roboto" w:eastAsia="Roboto" w:cs="Roboto"/>
          <w:color w:val="444746"/>
          <w:sz w:val="21"/>
          <w:szCs w:val="21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сформовано та затверджено робочою групою перелік цінностей закладу освіти.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Визначено та сформульовано місію та стратегічне бачення (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візію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) закладу освіти.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Розроблено стратегічні та оперативні  цілі й завдання розвитку закладу освіти з урахуванням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гендерно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-орієнтованого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та інклюзивного підходів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та дотриманням демократичних цінност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ей і принципів (Школа дієвої демократії).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120"/>
        <w:ind w:firstLine="566"/>
        <w:jc w:val="both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Організовано обговорення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проєкту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Стратегії розвитку через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Google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форми для залучення широкого кола учасників/учасниць.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Style w:val="765"/>
        <w:keepNext w:val="false"/>
        <w:keepLines w:val="false"/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80" w:before="0" w:line="319" w:lineRule="auto"/>
        <w:ind w:firstLine="566"/>
        <w:jc w:val="both"/>
        <w:rPr/>
      </w:pPr>
      <w:r/>
      <w:bookmarkStart w:id="4" w:name="_heading=h.3dy6vkm"/>
      <w:r/>
      <w:bookmarkEnd w:id="4"/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4. Розроблення Перспективного плану впровадження Стратегії розвитку через реалізацію 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проєктів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 р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озвитку.</w:t>
      </w:r>
      <w:r/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1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Проведено воркшоп, де напрацювали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проєктні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ідеї за стратегічними напрямами та оперативними цілями для формування Перспективного плану реалізації Стратегії розвитку.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Розроблено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проєкт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Перспективного плану впровадження Стратегії розвитку закладу освіти на 202</w:t>
      </w:r>
      <w:r>
        <w:rPr>
          <w:rFonts w:ascii="Times New Roman" w:hAnsi="Times New Roman" w:eastAsia="Times New Roman" w:cs="Times New Roman"/>
          <w:color w:val="0d0d0d"/>
          <w:sz w:val="28"/>
          <w:szCs w:val="28"/>
          <w:lang w:val="uk-UA"/>
        </w:rPr>
        <w:t xml:space="preserve">5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-202</w:t>
      </w:r>
      <w:r>
        <w:rPr>
          <w:rFonts w:ascii="Times New Roman" w:hAnsi="Times New Roman" w:eastAsia="Times New Roman" w:cs="Times New Roman"/>
          <w:color w:val="0d0d0d"/>
          <w:sz w:val="28"/>
          <w:szCs w:val="28"/>
          <w:lang w:val="uk-UA"/>
        </w:rPr>
        <w:t xml:space="preserve">7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роки.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Організовано обговорення Перспективного плану впровадження Стратегії розвитку з використанням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Google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форм для врахування думок усіх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стейкхолдерів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.</w:t>
      </w:r>
      <w:bookmarkStart w:id="5" w:name="_GoBack"/>
      <w:r/>
      <w:bookmarkEnd w:id="5"/>
      <w:r/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12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Схва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лено на засіданні педагогічної ради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проєкт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 Стратегії розвитку та Перспективного плану.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/>
        <w:ind w:firstLine="566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Для впровадження Стратегії розвитку планується затвердження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Перспективного плану впровадження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Менською міською радою та подальше оприлюднення на офіційному сайті закладу освіти.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/>
        <w:ind w:firstLine="566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Після цього буде розроблено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проєкт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Плану реалізації Стратегії розвитку на поточний навчальний рік. Цей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проєкт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розглядатиметься та схвалюватиметься на засіданні педагогічної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ради, затверджуватиметься керівницею закладу освіти та публікуватиметься на офіційному сайті.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300"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Впровадження Стратегії розвитку здійснюватиметься через реалізацію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проєктів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 розвитку.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Протягом терміну впровадження Стратегії розвитку здійснюється постійний мон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іторинг, що дозволить контролювати впровадження Стратегії розвитку, здійснювати оцінку отриманих результатів. Задля цього буде створено моніторингову групу, яка на підставі застосування визначених індикаторів результатів здійснюватиме оцінку ефективності 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иконання завдань та досягнення цілей. Визначення індикаторів відбувається на підставі застосування системи уніфікованих критеріїв та індикаторів розвитку освіти: критеріїв нормативних вимог, критеріїв впровадження Школи дієвої демократії, оцінки розвитку 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світи, критеріїв оцінки розвитку освіти, розроблених експертами Швейцарсько-український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проєкту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DECIDE - «Децентралізація для розвитку демократичної освіти».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Моніторинг здійснюватиметься із застосуванням інструментів опитування учасників/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ць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освітнього проц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есу, спостереження, вивчення документації.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Результати моніторингу оприлюднюватимуться на офіційному сайті закладу освіти та обговорюватимуться на засіданні педагогічної ради. Впродовж реалізації Стратегії розвитку буде здійснено два види оцінювання: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поточн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 (за результатами моніторингу виконання Плану реалізації Стратегії розвитку) та заключне (за результатами моніторингу виконання Перспективного плану впровадження Стратегії розвитку).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основі здійснення оцінювання </w:t>
      </w:r>
      <w:r>
        <w:rPr>
          <w:rFonts w:ascii="Times New Roman" w:hAnsi="Times New Roman" w:eastAsia="Times New Roman" w:cs="Times New Roman"/>
          <w:sz w:val="29"/>
          <w:szCs w:val="29"/>
          <w:highlight w:val="white"/>
        </w:rPr>
        <w:t xml:space="preserve">складатимуться</w:t>
      </w:r>
      <w:r>
        <w:rPr>
          <w:rFonts w:ascii="Times New Roman" w:hAnsi="Times New Roman" w:eastAsia="Times New Roman" w:cs="Times New Roman"/>
          <w:sz w:val="29"/>
          <w:szCs w:val="29"/>
          <w:highlight w:val="white"/>
        </w:rPr>
        <w:t xml:space="preserve"> проміжні та заключний зві</w:t>
      </w:r>
      <w:r>
        <w:rPr>
          <w:rFonts w:ascii="Times New Roman" w:hAnsi="Times New Roman" w:eastAsia="Times New Roman" w:cs="Times New Roman"/>
          <w:sz w:val="29"/>
          <w:szCs w:val="29"/>
          <w:highlight w:val="white"/>
        </w:rPr>
        <w:t xml:space="preserve">ти, які міститимуть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результати впровадження Стратегії розвитку. Заключний звіт буде затверджено рішенням Менської міської ради восьмого скликання та оприлюднено на офіційному веб-сайті закладу освіти.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240" w:before="240"/>
        <w:ind w:firstLine="720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before="300"/>
        <w:ind/>
        <w:jc w:val="center"/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  <w:t xml:space="preserve">ВІЗИТІВКА ЗАКЛАДУ ОСВІТИ</w:t>
      </w:r>
      <w:r>
        <w:rPr>
          <w:rFonts w:ascii="Times New Roman" w:hAnsi="Times New Roman" w:eastAsia="Times New Roman" w:cs="Times New Roman"/>
          <w:b/>
          <w:color w:val="0d0d0d"/>
          <w:sz w:val="28"/>
          <w:szCs w:val="28"/>
        </w:rPr>
      </w:r>
    </w:p>
    <w:tbl>
      <w:tblPr>
        <w:tblStyle w:val="780"/>
        <w:tblW w:w="931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6510"/>
      </w:tblGrid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Назва гімназії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Опорний заклад Менська гімназія Менської міської ради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Дата заснування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30 серпня 1935 року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Директорка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Хоменко Тетяна Олексіївна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Ключові характеристики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>
                <w:top w:val="none" w:color="e3e3e3" w:sz="0" w:space="0"/>
                <w:left w:val="none" w:color="e3e3e3" w:sz="0" w:space="0"/>
                <w:bottom w:val="none" w:color="e3e3e3" w:sz="0" w:space="0"/>
                <w:right w:val="none" w:color="e3e3e3" w:sz="0" w:space="0"/>
                <w:between w:val="none" w:color="e3e3e3" w:sz="0" w:space="0"/>
              </w:pBdr>
              <w:shd w:val="clear" w:color="auto" w:fill="ffffff"/>
              <w:spacing w:after="300" w:line="240" w:lineRule="auto"/>
              <w:ind/>
              <w:jc w:val="both"/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Рішенням 42 сесії сьомого скликання Менської міської ради від 26 липня 2020 року № 399 Менську  гімназію було реорганізовано у Опорний заклад Менська гімназія з філіями 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Бірківським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 ЗЗСО, згодом 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Куковицьким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 ЗЗСО та 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Величківським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 ЗЗСО. Сьогодні у закладі осв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іти працює 83 висококваліфікованих і досвідчених педагогічних працівників/працівниць. На базі закладу освіти працюють класи з 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допрофільною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 та профільною підготовкою. Учні/учениці поглиблено вивчають українську мову, математику та хімію з біологією. Профіль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не вивчення охоплює такі предмети, як українська філологія та технології (Автосправа). У закладі освіти для реалізації даного технологічного профілю (Автосправа) є навчальні автомобілі (легкові та вантажні), мотоцикл та скутер, навчальні аудиторії, майданч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ики з навчання водінню. </w:t>
            </w:r>
            <w:r>
              <w:rPr>
                <w:rFonts w:ascii="Times New Roman" w:hAnsi="Times New Roman" w:eastAsia="Times New Roman" w:cs="Times New Roman"/>
                <w:sz w:val="29"/>
                <w:szCs w:val="29"/>
                <w:highlight w:val="white"/>
              </w:rPr>
              <w:t xml:space="preserve"> У рамках реалізації швейцарсько-українського </w:t>
            </w:r>
            <w:r>
              <w:rPr>
                <w:rFonts w:ascii="Times New Roman" w:hAnsi="Times New Roman" w:eastAsia="Times New Roman" w:cs="Times New Roman"/>
                <w:sz w:val="29"/>
                <w:szCs w:val="29"/>
                <w:highlight w:val="white"/>
              </w:rPr>
              <w:t xml:space="preserve">проєкту</w:t>
            </w:r>
            <w:r>
              <w:rPr>
                <w:rFonts w:ascii="Times New Roman" w:hAnsi="Times New Roman" w:eastAsia="Times New Roman" w:cs="Times New Roman"/>
                <w:sz w:val="29"/>
                <w:szCs w:val="29"/>
                <w:highlight w:val="white"/>
              </w:rPr>
              <w:t xml:space="preserve"> DECIDE з метою формування громадянських </w:t>
            </w:r>
            <w:r>
              <w:rPr>
                <w:rFonts w:ascii="Times New Roman" w:hAnsi="Times New Roman" w:eastAsia="Times New Roman" w:cs="Times New Roman"/>
                <w:sz w:val="29"/>
                <w:szCs w:val="29"/>
                <w:highlight w:val="white"/>
              </w:rPr>
              <w:t xml:space="preserve">компетентностей</w:t>
            </w:r>
            <w:r>
              <w:rPr>
                <w:rFonts w:ascii="Times New Roman" w:hAnsi="Times New Roman" w:eastAsia="Times New Roman" w:cs="Times New Roman"/>
                <w:sz w:val="29"/>
                <w:szCs w:val="29"/>
                <w:highlight w:val="white"/>
              </w:rPr>
              <w:t xml:space="preserve"> учнів/учениць у 8-9 класах впроваджено курс за вибором "Навчаємось жити в громаді".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 Для підтримки розвитку STEM-освіти дію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ть  факультативи з робототехніки. Колектив Менської гімназії активно працює над створенням безпечного і комфортного освітнього середовища, беручи участь у грантових програмах та 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проєктах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 для залучення додаткових ресурсів для розвитку. Завдяки цьому заклад 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має сучасні укриття, кабінет безпеки, 3Д-принтер. Для дітей з особливими освітніми потребами створено інклюзивні класи, також облаштовано кімнату соціально-побутового навчання, кімнату ЛФК та корекційно-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розвиткову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 кімнату. Здійснюється підвіз учнів/учениць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та педагогічних працівників/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ць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w:t xml:space="preserve">з дев'яти сіл територіальної громади. Педагогічні працівники/працівниці Менської гімназії – це колектив, який успішно вирішує сучасні завдання та впевнено дивиться в майбутнє.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Вислів, який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ілюструє місію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гімназії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>
                <w:top w:val="none" w:color="e3e3e3" w:sz="0" w:space="0"/>
                <w:left w:val="none" w:color="e3e3e3" w:sz="0" w:space="0"/>
                <w:bottom w:val="none" w:color="e3e3e3" w:sz="0" w:space="0"/>
                <w:right w:val="none" w:color="e3e3e3" w:sz="0" w:space="0"/>
                <w:between w:val="none" w:color="e3e3e3" w:sz="0" w:space="0"/>
              </w:pBdr>
              <w:shd w:val="clear" w:color="auto" w:fill="ffffff"/>
              <w:spacing w:after="300" w:line="256" w:lineRule="auto"/>
              <w:ind/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  <w:highlight w:val="white"/>
              </w:rPr>
              <w:t xml:space="preserve">Діти повинні жити у світі краси, гри, казки, музики, малюнка, фантазії, творчості.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  <w:highlight w:val="white"/>
              </w:rPr>
            </w:r>
          </w:p>
          <w:p>
            <w:pPr>
              <w:widowControl w:val="false"/>
              <w:pBdr>
                <w:top w:val="none" w:color="e3e3e3" w:sz="0" w:space="0"/>
                <w:left w:val="none" w:color="e3e3e3" w:sz="0" w:space="0"/>
                <w:bottom w:val="none" w:color="e3e3e3" w:sz="0" w:space="0"/>
                <w:right w:val="none" w:color="e3e3e3" w:sz="0" w:space="0"/>
                <w:between w:val="none" w:color="e3e3e3" w:sz="0" w:space="0"/>
              </w:pBdr>
              <w:shd w:val="clear" w:color="auto" w:fill="ffffff"/>
              <w:spacing w:after="300" w:line="240" w:lineRule="auto"/>
              <w:ind/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  <w:highlight w:val="white"/>
              </w:rPr>
              <w:t xml:space="preserve">Василь Олександрович Сухомлинський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Фото, яке ілюструє культуру гімназії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>
                <w:top w:val="none" w:color="e3e3e3" w:sz="0" w:space="0"/>
                <w:left w:val="none" w:color="e3e3e3" w:sz="0" w:space="0"/>
                <w:bottom w:val="none" w:color="e3e3e3" w:sz="0" w:space="0"/>
                <w:right w:val="none" w:color="e3e3e3" w:sz="0" w:space="0"/>
                <w:between w:val="none" w:color="e3e3e3" w:sz="0" w:space="0"/>
              </w:pBdr>
              <w:shd w:val="clear" w:color="auto" w:fill="ffffff"/>
              <w:spacing w:after="300" w:line="240" w:lineRule="auto"/>
              <w:ind/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53771" cy="1465329"/>
                      <wp:effectExtent l="0" t="0" r="0" b="0"/>
                      <wp:docPr id="8" name="image7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7.jpg"/>
                              <pic:cNvPicPr/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53771" cy="1465329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7" o:spid="_x0000_s7" type="#_x0000_t75" style="width:153.84pt;height:115.38pt;mso-wrap-distance-left:0.00pt;mso-wrap-distance-top:0.00pt;mso-wrap-distance-right:0.00pt;mso-wrap-distance-bottom:0.00pt;z-index:1;">
                      <v:imagedata r:id="rId23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69256" cy="1531644"/>
                      <wp:effectExtent l="0" t="0" r="0" b="0"/>
                      <wp:docPr id="9" name="image12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2.jpg"/>
                              <pic:cNvPicPr/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69256" cy="1531644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8" o:spid="_x0000_s8" type="#_x0000_t75" style="width:155.06pt;height:120.60pt;mso-wrap-distance-left:0.00pt;mso-wrap-distance-top:0.00pt;mso-wrap-distance-right:0.00pt;mso-wrap-distance-bottom:0.00pt;z-index:1;">
                      <v:imagedata r:id="rId24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73738" cy="1190625"/>
                      <wp:effectExtent l="0" t="0" r="0" b="0"/>
                      <wp:docPr id="10" name="image5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5.jpg"/>
                              <pic:cNvPicPr/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73738" cy="119062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9" o:spid="_x0000_s9" type="#_x0000_t75" style="width:155.41pt;height:93.75pt;mso-wrap-distance-left:0.00pt;mso-wrap-distance-top:0.00pt;mso-wrap-distance-right:0.00pt;mso-wrap-distance-bottom:0.00pt;z-index:1;">
                      <v:imagedata r:id="rId25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54688" cy="1219200"/>
                      <wp:effectExtent l="0" t="0" r="0" b="0"/>
                      <wp:docPr id="11" name="image8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8.jpg"/>
                              <pic:cNvPicPr/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54688" cy="12192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" o:spid="_x0000_s10" type="#_x0000_t75" style="width:153.91pt;height:96.00pt;mso-wrap-distance-left:0.00pt;mso-wrap-distance-top:0.00pt;mso-wrap-distance-right:0.00pt;mso-wrap-distance-bottom:0.00pt;z-index:1;">
                      <v:imagedata r:id="rId26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97538" cy="1143000"/>
                      <wp:effectExtent l="0" t="0" r="0" b="0"/>
                      <wp:docPr id="12" name="image13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3.jpg"/>
                              <pic:cNvPicPr/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97538" cy="1143000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1" o:spid="_x0000_s11" type="#_x0000_t75" style="width:149.41pt;height:90.00pt;mso-wrap-distance-left:0.00pt;mso-wrap-distance-top:0.00pt;mso-wrap-distance-right:0.00pt;mso-wrap-distance-bottom:0.00pt;z-index:1;">
                      <v:imagedata r:id="rId27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31512" cy="1448634"/>
                      <wp:effectExtent l="0" t="0" r="0" b="0"/>
                      <wp:docPr id="13" name="image2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jpg"/>
                              <pic:cNvPicPr/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1512" cy="1448633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2" o:spid="_x0000_s12" type="#_x0000_t75" style="width:152.09pt;height:114.07pt;mso-wrap-distance-left:0.00pt;mso-wrap-distance-top:0.00pt;mso-wrap-distance-right:0.00pt;mso-wrap-distance-bottom:0.00pt;z-index:1;">
                      <v:imagedata r:id="rId28" o:title=""/>
                      <o:lock v:ext="edit" rotation="t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Юридична адреса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Чернігівська область,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Корюківський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район, Менська ТГ, м.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Мена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вул. Шевченка, 56</w:t>
            </w:r>
            <w:r>
              <w:rPr>
                <w:rFonts w:ascii="Times New Roman" w:hAnsi="Times New Roman" w:eastAsia="Times New Roman" w:cs="Times New Roman"/>
                <w:color w:val="0d0d0d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Контактні дані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гімназії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Електронна адреса: gymn_mena@hotmail.com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Номер телефону: 04644 2-18-09, 2-13-98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ЗМІ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Шкільний сайт: </w:t>
            </w:r>
            <w:hyperlink r:id="rId29" w:tooltip="http://mena-gymnasium.cn.sch.in.ua/" w:history="1">
              <w:r>
                <w:rPr>
                  <w:rFonts w:ascii="Times New Roman" w:hAnsi="Times New Roman" w:eastAsia="Times New Roman" w:cs="Times New Roman"/>
                  <w:color w:val="1155cc"/>
                  <w:sz w:val="28"/>
                  <w:szCs w:val="28"/>
                  <w:u w:val="single"/>
                </w:rPr>
                <w:t xml:space="preserve">http://mena-gymnasium.cn.sch.in.ua/</w:t>
              </w:r>
            </w:hyperlink>
            <w:r/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Рубрика на шкільному сайті ,,Стратегія розвитку”: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/>
            <w:hyperlink r:id="rId30" w:tooltip="http://mena-gymnasium.cn.sch.in.ua/strategiya_rozvitku_zakladu/" w:history="1">
              <w:r>
                <w:rPr>
                  <w:rFonts w:ascii="Times New Roman" w:hAnsi="Times New Roman" w:eastAsia="Times New Roman" w:cs="Times New Roman"/>
                  <w:color w:val="1155cc"/>
                  <w:sz w:val="28"/>
                  <w:szCs w:val="28"/>
                  <w:u w:val="single"/>
                </w:rPr>
                <w:t xml:space="preserve">http://mena-gymnasium.cn.sch.in.ua/strategiya_rozvitku_zakladu/</w:t>
              </w:r>
            </w:hyperlink>
            <w:r/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200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/>
            <w:hyperlink r:id="rId31" w:tooltip="https://www.facebook.com/groups/723932235101385/" w:history="1">
              <w:r>
                <w:rPr>
                  <w:rFonts w:ascii="Times New Roman" w:hAnsi="Times New Roman" w:eastAsia="Times New Roman" w:cs="Times New Roman"/>
                  <w:color w:val="0000ff"/>
                  <w:sz w:val="28"/>
                  <w:szCs w:val="28"/>
                  <w:u w:val="single"/>
                </w:rPr>
                <w:t xml:space="preserve">https://www.facebook.com/groups/723932235101385/</w:t>
              </w:r>
            </w:hyperlink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фейсбук сторінка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200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/>
            <w:bookmarkStart w:id="6" w:name="_heading=h.1t3h5sf"/>
            <w:r/>
            <w:bookmarkEnd w:id="6"/>
            <w:r>
              <w:fldChar w:fldCharType="begin"/>
            </w:r>
            <w:r>
              <w:instrText xml:space="preserve"> HYPERLINK "https://www.instagram.com/menskagimnaziia?ig</w:instrText>
            </w:r>
            <w:r>
              <w:instrText xml:space="preserve">sh=d3lzcGVhajIwYnNk" \h </w:instrText>
            </w:r>
            <w:r>
              <w:fldChar w:fldCharType="separate"/>
            </w:r>
            <w:r>
              <w:rPr>
                <w:rFonts w:ascii="Times New Roman" w:hAnsi="Times New Roman" w:eastAsia="Times New Roman" w:cs="Times New Roman"/>
                <w:color w:val="0000ff"/>
                <w:sz w:val="28"/>
                <w:szCs w:val="28"/>
                <w:u w:val="single"/>
              </w:rPr>
              <w:t xml:space="preserve">https://www.instagram.com/menskagimnaziia?igsh=d3lzcGVhajIwYnNk</w:t>
            </w:r>
            <w:r>
              <w:rPr>
                <w:rFonts w:ascii="Times New Roman" w:hAnsi="Times New Roman" w:eastAsia="Times New Roman" w:cs="Times New Roman"/>
                <w:color w:val="0000ff"/>
                <w:sz w:val="28"/>
                <w:szCs w:val="28"/>
                <w:u w:val="single"/>
              </w:rPr>
              <w:fldChar w:fldCharType="end"/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інстаграм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сторінка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0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Контактні дані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  <w:t xml:space="preserve">керівника гімназії</w:t>
            </w:r>
            <w:r>
              <w:rPr>
                <w:rFonts w:ascii="Times New Roman" w:hAnsi="Times New Roman" w:eastAsia="Times New Roman" w:cs="Times New Roman"/>
                <w:b/>
                <w:color w:val="0d0d0d"/>
                <w:sz w:val="28"/>
                <w:szCs w:val="28"/>
              </w:rPr>
            </w:r>
          </w:p>
        </w:tc>
        <w:tc>
          <w:tcPr>
            <w:shd w:val="clear" w:color="auto" w:fill="auto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651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Електронна адреса: </w:t>
            </w:r>
            <w:hyperlink r:id="rId32" w:tooltip="mailto:gymn_mena@hotmail.com" w:history="1">
              <w:r>
                <w:rPr>
                  <w:rFonts w:ascii="Times New Roman" w:hAnsi="Times New Roman" w:eastAsia="Times New Roman" w:cs="Times New Roman"/>
                  <w:color w:val="1155cc"/>
                  <w:sz w:val="28"/>
                  <w:szCs w:val="28"/>
                  <w:u w:val="single"/>
                </w:rPr>
                <w:t xml:space="preserve">gymn_mena@hotmail.com</w:t>
              </w:r>
            </w:hyperlink>
            <w:r/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0506377042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</w:tbl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274e13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SWOT-АНАЛІЗ ЗАКЛАДУ ОСВІТИ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781"/>
        <w:tblW w:w="943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770"/>
        <w:gridCol w:w="4665"/>
      </w:tblGrid>
      <w:tr>
        <w:trPr>
          <w:trHeight w:val="178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4770" w:type="dxa"/>
            <w:textDirection w:val="lrTb"/>
            <w:noWrap w:val="false"/>
          </w:tcPr>
          <w:p>
            <w:pPr>
              <w:widowControl w:val="false"/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Сильні сторони “S”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4665" w:type="dxa"/>
            <w:textDirection w:val="lrTb"/>
            <w:noWrap w:val="false"/>
          </w:tcPr>
          <w:p>
            <w:pPr>
              <w:widowControl w:val="false"/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Слабкі сторони “W”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  <w:tr>
        <w:trPr>
          <w:trHeight w:val="406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4770" w:type="dxa"/>
            <w:textDirection w:val="lrTb"/>
            <w:noWrap w:val="false"/>
          </w:tcPr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 Створені умови для активного відпочинку на свіжому повітрі (дитячий майданчик, облаштовані класи у парковій зоні закладу освіти).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Наявність 4-х відремонтованих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укриттів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, що відповідають нормативним вимогам, та одного сучасного обладнаного укриття, що дозволяє здійснювати безперервний освітній процес під час повітряних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тривог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Обладнання ресурсної кімнати  забезпечує комфортні умов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и навчання для всіх категорій учнів/учениць відповідно до їх потреб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4. Частково проведений капітальний ремонт приміщення закладу освіти сприяє підвищенню комфортності умов здійснення освітнього процесу.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Забезпеченість навчальних кабінетів технічними за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собами візуалізації підвищує ефективність викладання навчальних предметів.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6. Кваліфіковані педагогічні працівники/працівниці.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7. Дотримання демократичного стилю управління та принципів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партисипативності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при ухваленні  управлінських рішень.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8. Забезпечено єдиний підхід до здійснення дистанційного навчання.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9. Налагоджена співпраця з  громадськими та благодійними організаціями (ГО “ІСТОК”, Фонд Кличко, ГО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GoGiobal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, ГО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Doccu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“Літні клуби для дітей та підлітків”, Благодійний фонд “Фортечний”,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Бл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агодійний фонд "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Флоріум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Фундація" тощо).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4665" w:type="dxa"/>
            <w:textDirection w:val="lrTb"/>
            <w:noWrap w:val="false"/>
          </w:tcPr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1.Відсутність облаштованого спортивного майданчика (немає баскетбольного, волейбольного майданчиків, тренажерного комплексу та бігових доріжок тощо), що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негативно впливає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на конкурентоспроможність та комфортність 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світнього закладу.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 Облаштування бібліотечного простору не відповідає нормативним вимогам та сучасним потребам (відсутність доступу до онлайн-бібліотек, комп'ютеризованого робочого місця для самопідготовки).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3.Не забезпечено енергоефективність, є необхід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ність в термоізоляції зовнішніх стін закладу освіти.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4. Складність адаптації педагогічного колективу до  умов праці під час воєнного стану.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5. Незацікавленість педагогічних працівників/працівниць участю в сертифікації призводить до зниження  конкурентоспро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можності  закладу освіти.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6. Відсутність в окремих педагогічних працівників/працівниць високої мотивації до професійного розвитку, до ефективної професійної діяльності, до впровадження освітніх чи педагогічних новацій.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7. Відсутність системи моніторингу еф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ективності педагогічної діяльності.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8. Відсутність системного підходу до здійснення психоемоційної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підтримки педагогічного працівника/працівниці, що спричиняє професійне вигорання.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9. Низький рівень мотивації більшості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учнів/учениць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до навчання.</w:t>
            </w:r>
            <w:r>
              <w:rPr>
                <w:rFonts w:ascii="Times New Roman" w:hAnsi="Times New Roman" w:eastAsia="Times New Roman" w:cs="Times New Roman"/>
                <w:i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ffffff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4770" w:type="dxa"/>
            <w:textDirection w:val="lrTb"/>
            <w:noWrap w:val="false"/>
          </w:tcPr>
          <w:p>
            <w:pPr>
              <w:widowControl w:val="false"/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</w:rPr>
              <w:t xml:space="preserve">Можливості “О”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</w:rPr>
            </w:r>
          </w:p>
        </w:tc>
        <w:tc>
          <w:tcPr>
            <w:shd w:val="clear" w:color="auto" w:fill="ffffff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4665" w:type="dxa"/>
            <w:textDirection w:val="lrTb"/>
            <w:noWrap w:val="false"/>
          </w:tcPr>
          <w:p>
            <w:pPr>
              <w:widowControl w:val="false"/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</w:rPr>
              <w:t xml:space="preserve">Загрози “T”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</w:rPr>
            </w:r>
          </w:p>
        </w:tc>
      </w:tr>
      <w:tr>
        <w:trPr>
          <w:trHeight w:val="832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4770" w:type="dxa"/>
            <w:textDirection w:val="lrTb"/>
            <w:noWrap w:val="false"/>
          </w:tcPr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 Наявність можливостей щодо оновлення матеріально-технічного та навчально-методичного забезпечення завдяки участі у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проєктно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-грантових програмах.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 Наявність умов для неперервного підвищення кваліфікації (формальна, неформальна,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інформальна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освіта).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3.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Можливість налагодження співпраці з різного рівня закладами освіти Чернігівської області на основі наявних меморандумів про співпрацю між територіа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льними громадами та територіальної доступності освітніх закладів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Наявність відповідної нормативної бази та функціонування у територіальній громаді активного зацікавленого у співробітництві бізнесу створює умови щодо налагодження співпраці між закладом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освіти, місцевим бізнесом та Менським центром зайнятості для урізноманітнення профорієнтаційної роботи у закладі освіти.</w:t>
            </w:r>
            <w:r>
              <w:rPr>
                <w:rFonts w:ascii="Times New Roman" w:hAnsi="Times New Roman" w:eastAsia="Times New Roman" w:cs="Times New Roman"/>
                <w:i/>
                <w:sz w:val="28"/>
                <w:szCs w:val="28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4665" w:type="dxa"/>
            <w:textDirection w:val="lrTb"/>
            <w:noWrap w:val="false"/>
          </w:tcPr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 Нестача фінансового ресурсу місцевого бюджету на придбання шкільного спеціально обладнаного автобусу для маломобільних груп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здобувач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ів/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ок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 освіти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 Зменшення чисельності населення через прикордонне територіальне розміщення і економічну непривабливість регіону, призводить до зменшення контингенту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учнів/учениць освіти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, закриття класів та скорочення навчального навантаження для педагогіч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них працівників/працівниць.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3. Знецінення престижу праці педагогічного працівника/працівниць в українському суспільстві.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4. Відсутність</w:t>
            </w:r>
            <w:r>
              <w:rPr>
                <w:rFonts w:ascii="Times New Roman" w:hAnsi="Times New Roman" w:eastAsia="Times New Roman" w:cs="Times New Roman"/>
                <w:color w:val="444746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на державному рівні нормативно закріпленого механізму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конкурсного відбору на посаду вчителя веде до зниження якості кад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рового складу, як результат </w:t>
            </w:r>
            <w:r>
              <w:rPr>
                <w:rFonts w:ascii="Times New Roman" w:hAnsi="Times New Roman" w:eastAsia="Times New Roman" w:cs="Times New Roman"/>
                <w:color w:val="4d5156"/>
                <w:sz w:val="28"/>
                <w:szCs w:val="28"/>
                <w:highlight w:val="white"/>
              </w:rPr>
              <w:t xml:space="preserve"> —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 зниження якості надання освітніх послуг.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5. Невчасне забезпечення середньої ланки НУШ друкованими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підручниками та навчально-дидактичним обладнанням.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  <w:p>
            <w:pPr>
              <w:pBdr/>
              <w:spacing w:after="0" w:afterAutospacing="0"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6. Негативний вплив воєнного стану на ефективність організації освітнього п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роцесу та психологічний стан всіх учасників/ниць освітнього процесу.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i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i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</w:tbl>
    <w:p>
      <w:pPr>
        <w:pBdr/>
        <w:spacing/>
        <w:ind/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pBdr/>
        <w:shd w:val="nil"/>
        <w:spacing/>
        <w:ind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  <w:highlight w:val="none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ЦІННОСТІ, МІСІЯ, ВІЗІЯ ЗАКЛАДУ ОСВІТИ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 w:firstLine="566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Цінності: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numPr>
          <w:ilvl w:val="0"/>
          <w:numId w:val="1"/>
        </w:numPr>
        <w:pBdr/>
        <w:spacing/>
        <w:ind w:hanging="425" w:left="425"/>
        <w:jc w:val="both"/>
        <w:rPr>
          <w:rFonts w:ascii="Georgia" w:hAnsi="Georgia" w:eastAsia="Georgia" w:cs="Georgia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Взаємопідтримка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(заклад освіти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це освітній простір, наповнений атмосферою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взаємопідтримки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та толерантним ставленням,  рівністю до кожного).</w:t>
      </w:r>
      <w:r>
        <w:rPr>
          <w:rFonts w:ascii="Georgia" w:hAnsi="Georgia" w:eastAsia="Georgia" w:cs="Georgia"/>
          <w:sz w:val="28"/>
          <w:szCs w:val="28"/>
        </w:rPr>
      </w:r>
    </w:p>
    <w:p>
      <w:pPr>
        <w:widowControl w:val="false"/>
        <w:numPr>
          <w:ilvl w:val="0"/>
          <w:numId w:val="1"/>
        </w:numPr>
        <w:pBdr/>
        <w:spacing/>
        <w:ind w:hanging="425" w:left="425"/>
        <w:jc w:val="both"/>
        <w:rPr>
          <w:rFonts w:ascii="Georgia" w:hAnsi="Georgia" w:eastAsia="Georgia" w:cs="Georgia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Командна співпраця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злагоджена співпраця</w:t>
      </w:r>
      <w:r>
        <w:rPr>
          <w:rFonts w:ascii="Roboto" w:hAnsi="Roboto" w:eastAsia="Roboto" w:cs="Roboto"/>
          <w:color w:val="444746"/>
          <w:sz w:val="21"/>
          <w:szCs w:val="21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всіх учасників/ниць освітнього процесу задля ефективного досягнення спільної мети).</w:t>
      </w:r>
      <w:r>
        <w:rPr>
          <w:rFonts w:ascii="Georgia" w:hAnsi="Georgia" w:eastAsia="Georgia" w:cs="Georgia"/>
          <w:sz w:val="28"/>
          <w:szCs w:val="28"/>
        </w:rPr>
      </w:r>
    </w:p>
    <w:p>
      <w:pPr>
        <w:numPr>
          <w:ilvl w:val="0"/>
          <w:numId w:val="1"/>
        </w:numPr>
        <w:pBdr/>
        <w:spacing/>
        <w:ind w:hanging="425" w:left="425"/>
        <w:jc w:val="both"/>
        <w:rPr>
          <w:rFonts w:ascii="Georgia" w:hAnsi="Georgia" w:eastAsia="Georgia" w:cs="Georgia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Комфорт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(сучасний зак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лад освіти, що</w:t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піклується про безпеку та комфорт для усіх учасників/учасниць освітнього процесу, де адміністрація закладу освіти відкрита до співпраці та завжди реагує на запити від учнів/учениць та/або батьків).</w:t>
      </w:r>
      <w:r>
        <w:rPr>
          <w:rFonts w:ascii="Georgia" w:hAnsi="Georgia" w:eastAsia="Georgia" w:cs="Georgia"/>
          <w:sz w:val="28"/>
          <w:szCs w:val="28"/>
        </w:rPr>
      </w:r>
    </w:p>
    <w:p>
      <w:pPr>
        <w:numPr>
          <w:ilvl w:val="0"/>
          <w:numId w:val="1"/>
        </w:numPr>
        <w:pBdr/>
        <w:spacing/>
        <w:ind w:hanging="425" w:left="425"/>
        <w:jc w:val="both"/>
        <w:rPr>
          <w:rFonts w:ascii="Georgia" w:hAnsi="Georgia" w:eastAsia="Georgia" w:cs="Georgia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Рівність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(рівність усіх учасників/учасниць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освітнього процесу, дружній та творчий педагогічний колектив).</w:t>
      </w:r>
      <w:r>
        <w:rPr>
          <w:rFonts w:ascii="Georgia" w:hAnsi="Georgia" w:eastAsia="Georgia" w:cs="Georgia"/>
          <w:sz w:val="28"/>
          <w:szCs w:val="28"/>
        </w:rPr>
      </w:r>
    </w:p>
    <w:p>
      <w:pPr>
        <w:numPr>
          <w:ilvl w:val="0"/>
          <w:numId w:val="1"/>
        </w:numPr>
        <w:pBdr/>
        <w:spacing/>
        <w:ind w:hanging="425" w:left="425"/>
        <w:jc w:val="both"/>
        <w:rPr>
          <w:rFonts w:ascii="Georgia" w:hAnsi="Georgia" w:eastAsia="Georgia" w:cs="Georgia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Розвиток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(в закладі освіти створені умови для розвитку всіх учасників/учасниць освітнього процесу).</w:t>
      </w:r>
      <w:r>
        <w:rPr>
          <w:rFonts w:ascii="Georgia" w:hAnsi="Georgia" w:eastAsia="Georgia" w:cs="Georgia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  <w:t xml:space="preserve">Цінності розміщені в алфавітному порядку без ранжування за значущістю.</w:t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widowControl w:val="false"/>
        <w:pBdr/>
        <w:spacing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false"/>
        <w:pBdr/>
        <w:spacing/>
        <w:ind w:firstLine="566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Місія Опорного закладу Менська гімназія Менської міської ради: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створення безпечного і комфортного освітнього середовища для всебічного розвитку та соціалізації учнів/учениць, їх інтелектуальних, творчих, фізичних здібностей на засадах загальнолюдських цінн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остей та цінностей Українського народу, Конституції і законів України.</w:t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false"/>
        <w:pBdr/>
        <w:spacing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false"/>
        <w:pBdr/>
        <w:spacing/>
        <w:ind w:firstLine="566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Візія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Опорного закладу Менська гімназія Менської міської ради: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Опорний заклад Менська гімназія Менської міської ради</w:t>
      </w:r>
      <w:r>
        <w:rPr>
          <w:rFonts w:ascii="Roboto" w:hAnsi="Roboto" w:eastAsia="Roboto" w:cs="Roboto"/>
          <w:b/>
          <w:color w:val="444746"/>
          <w:sz w:val="21"/>
          <w:szCs w:val="21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є простором психологічного та фізичного комфорту для всіх учасникі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в/учасниць освітнього процесу, їх соціального успіху, що мотивує учнів/учениць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eastAsia="Times New Roman" w:cs="Times New Roman"/>
          <w:sz w:val="28"/>
          <w:szCs w:val="28"/>
          <w:highlight w:val="white"/>
        </w:rPr>
        <w:t xml:space="preserve">реалізації свого особистісного потенціалу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, педагогічних працівників/ працівниць до професійного зростання, батьків – до активної свідомої співпраці.  </w:t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pBdr/>
        <w:spacing/>
        <w:ind/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СТРАТЕГІЧНІ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, ОПЕРАТИВНІ ЦІЛІ, ЗАВДАННЯ РОЗВИТКУ ЗАКЛАДУ ОСВІТИ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tbl>
      <w:tblPr>
        <w:tblStyle w:val="782"/>
        <w:tblW w:w="9555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580"/>
        <w:gridCol w:w="3060"/>
        <w:gridCol w:w="3915"/>
      </w:tblGrid>
      <w:tr>
        <w:trPr>
          <w:trHeight w:val="30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Стратегічна ціль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Оперативна ціль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Завдання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</w:r>
          </w:p>
        </w:tc>
      </w:tr>
      <w:tr>
        <w:trPr>
          <w:trHeight w:val="60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І.  Сучасний, комфортний, вільний від будь-яких форм насильства та дискримінації, інклюзивний,  мотивуючий освітній простір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1.1. Осучаснити освітнє середовище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 w:before="240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1.1.1.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Облаштовано навчальні кабінети відповідно до нормативних вимог та сучасних потреб щодо здійснення ефективного освітнього процесу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 w:before="240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1.1.2.  Створено сучасний спортивний простір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з урахуванням універсального дизайну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 w:before="240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1.1.3.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Проведено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термомодернізацію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 будівлі закладу освіти з переведенням на  альтернативні джерела електроенергії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ffffff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none" w:color="000000" w:sz="4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 w:before="240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1.1.4.  Створено на базі бібліотеки інформаційно-ресурсний центр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ffffff" w:sz="8" w:space="0"/>
              <w:left w:val="single" w:color="000000" w:sz="8" w:space="0"/>
              <w:bottom w:val="single" w:color="ffffff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5" w:space="0"/>
              <w:left w:val="single" w:color="000000" w:sz="5" w:space="0"/>
              <w:bottom w:val="single" w:color="000000" w:sz="5" w:space="0"/>
              <w:right w:val="single" w:color="000000" w:sz="5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 w:before="240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1.1.5. Облаштовано простір для психологічного розвантаження  учнів/учениць та педагогічних працівників/працівниць закладу освіти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з дотриманням принципів універсального дизайну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1.2.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Створити толерантне освітнє середовище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1.2.1. 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Створено безпечне</w:t>
            </w:r>
            <w:r>
              <w:rPr>
                <w:rFonts w:ascii="Times New Roman" w:hAnsi="Times New Roman" w:eastAsia="Times New Roman" w:cs="Times New Roman"/>
                <w:color w:val="444746"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освітнє середовище з урахуванням принципів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інклюзивності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1.2.2.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Здійснено заходи задля сприяння дотриманню учасниками/учасницями освітнього процесу правил,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визначених у Положенні про освітнє середовище, вільне від будь-яких форм насильства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1.3. Створити інклюзивне,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безбар’єрне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освітнє середовище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1.3.1. 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абезпечено архітектурну доступність приміщень закладу освіти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1.3.2. Доукомплектовано тренажерами та корекційно-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розвитковим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обладнанням ресурсну кімнату та кімнату лікувальної фізкультури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55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jc w:val="both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ІІ.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Ефективна внутрішня система забезпечення якості освіти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2.1.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Розробити та запровадити прозору систему оцінювання навчальних досягнень учнів/учениць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2.1.1. З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апроваджено в освітньому процесі сучасну систему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самооцінювання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 учнів/учениць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ffffff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2.1.2.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Забезпечено використання в освітньому процесі процедур та критеріїв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взаємооцінювання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 учнів/учениць, які є зрозумілими для них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ffffff" w:sz="8" w:space="0"/>
              <w:left w:val="single" w:color="000000" w:sz="8" w:space="0"/>
              <w:bottom w:val="single" w:color="ffffff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restart"/>
            <w:textDirection w:val="lrTb"/>
            <w:noWrap w:val="false"/>
          </w:tcPr>
          <w:p>
            <w:pPr>
              <w:widowControl w:val="false"/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2.2.Розробити та запровадити систему внутрішнього моніторингу якості освіти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2.2.1. Розроблено і запроваджено систему моніторингу результатів навчання учнів/учениць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ffffff" w:sz="8" w:space="0"/>
              <w:left w:val="single" w:color="000000" w:sz="8" w:space="0"/>
              <w:bottom w:val="single" w:color="ffffff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ffffff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2.2.2.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Забезпечено систематичне надання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зворотного зв’язку учням/ученицям, їх батькам  щодо динаміки навчального поступу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ffffff" w:sz="8" w:space="0"/>
              <w:left w:val="single" w:color="000000" w:sz="8" w:space="0"/>
              <w:bottom w:val="single" w:color="ffffff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ffffff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2.2.3. Впроваджено систему  забезпечення академічної доброчесності в закладі освіти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ffffff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2.3. Оптимізувати кадрове забезпечення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2.3.1.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highlight w:val="white"/>
              </w:rPr>
              <w:t xml:space="preserve">Забезпечено ефективну методичну підтримку професійного зростання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в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міжатестаційний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період педагогічних працівників/працівниць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  <w:tr>
        <w:trPr>
          <w:trHeight w:val="495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58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060" w:type="dxa"/>
            <w:vMerge w:val="continue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391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2.3.2. Упроваджено використання карток особистісного зростання та 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самооцінювання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  <w:t xml:space="preserve"> педагогічної діяльності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</w:tr>
    </w:tbl>
    <w:p>
      <w:pPr>
        <w:pBdr/>
        <w:spacing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e3e3e3" w:sz="0" w:space="0"/>
          <w:left w:val="none" w:color="e3e3e3" w:sz="0" w:space="0"/>
          <w:bottom w:val="none" w:color="e3e3e3" w:sz="0" w:space="0"/>
          <w:right w:val="none" w:color="e3e3e3" w:sz="0" w:space="0"/>
          <w:between w:val="none" w:color="e3e3e3" w:sz="0" w:space="0"/>
        </w:pBdr>
        <w:shd w:val="clear" w:color="auto" w:fill="ffffff"/>
        <w:spacing w:after="120" w:before="120"/>
        <w:ind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/>
        <w:spacing/>
        <w:ind w:right="-722" w:left="-141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/>
        <w:spacing/>
        <w:ind w:right="-722" w:left="-141"/>
        <w:jc w:val="both"/>
        <w:rPr>
          <w:rFonts w:ascii="Times New Roman" w:hAnsi="Times New Roman" w:eastAsia="Times New Roman" w:cs="Times New Roman"/>
          <w:color w:val="0d0d0d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/>
        <w:ind w:right="-722" w:left="-141"/>
        <w:rPr>
          <w:rFonts w:ascii="Times New Roman" w:hAnsi="Times New Roman" w:eastAsia="Times New Roman" w:cs="Times New Roman"/>
          <w:sz w:val="28"/>
          <w:szCs w:val="28"/>
        </w:rPr>
        <w:sectPr>
          <w:headerReference w:type="default" r:id="rId9"/>
          <w:headerReference w:type="first" r:id="rId10"/>
          <w:footerReference w:type="first" r:id="rId11"/>
          <w:footnotePr/>
          <w:endnotePr/>
          <w:type w:val="nextPage"/>
          <w:pgSz w:h="16834" w:orient="portrait" w:w="11909"/>
          <w:pgMar w:top="566" w:right="566" w:bottom="566" w:left="1984" w:header="720" w:footer="720" w:gutter="0"/>
          <w:pgNumType w:start="1"/>
          <w:cols w:num="1" w:sep="0" w:space="720" w:equalWidth="1"/>
          <w:titlePg/>
        </w:sect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/>
        <w:spacing w:line="240" w:lineRule="auto"/>
        <w:ind w:left="12960"/>
        <w:rPr>
          <w:rFonts w:ascii="Times New Roman" w:hAnsi="Times New Roman" w:eastAsia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lang w:val="uk-UA"/>
        </w:rPr>
        <w:t xml:space="preserve">Додаток</w:t>
      </w:r>
      <w:r>
        <w:rPr>
          <w:rFonts w:ascii="Times New Roman" w:hAnsi="Times New Roman" w:eastAsia="Times New Roman" w:cs="Times New Roman"/>
          <w:b/>
          <w:sz w:val="32"/>
          <w:szCs w:val="32"/>
          <w:lang w:val="uk-UA"/>
        </w:rPr>
      </w:r>
    </w:p>
    <w:p>
      <w:pPr>
        <w:pBdr/>
        <w:spacing w:line="240" w:lineRule="auto"/>
        <w:ind/>
        <w:jc w:val="center"/>
        <w:rPr>
          <w:rFonts w:ascii="Times New Roman" w:hAnsi="Times New Roman" w:eastAsia="Times New Roman" w:cs="Times New Roman"/>
          <w:b/>
          <w:sz w:val="32"/>
          <w:szCs w:val="32"/>
          <w:lang w:val="uk-UA"/>
        </w:rPr>
      </w:pPr>
      <w:r/>
      <w:bookmarkStart w:id="7" w:name="_heading=h.h1xjbpdfu9y5"/>
      <w:r/>
      <w:bookmarkEnd w:id="7"/>
      <w:r>
        <w:rPr>
          <w:rFonts w:ascii="Times New Roman" w:hAnsi="Times New Roman" w:eastAsia="Times New Roman" w:cs="Times New Roman"/>
          <w:b/>
          <w:sz w:val="32"/>
          <w:szCs w:val="32"/>
          <w:lang w:val="uk-UA"/>
        </w:rPr>
        <w:t xml:space="preserve">Перспективний план впровадження Стратегії розвитку Опорного закладу</w:t>
      </w:r>
      <w:r>
        <w:rPr>
          <w:rFonts w:ascii="Times New Roman" w:hAnsi="Times New Roman" w:eastAsia="Times New Roman" w:cs="Times New Roman"/>
          <w:b/>
          <w:sz w:val="32"/>
          <w:szCs w:val="32"/>
          <w:lang w:val="uk-UA"/>
        </w:rPr>
      </w:r>
    </w:p>
    <w:p>
      <w:pPr>
        <w:pBdr/>
        <w:spacing w:line="240" w:lineRule="auto"/>
        <w:ind/>
        <w:jc w:val="center"/>
        <w:rPr>
          <w:rFonts w:ascii="Times New Roman" w:hAnsi="Times New Roman" w:eastAsia="Times New Roman" w:cs="Times New Roman"/>
          <w:b/>
          <w:sz w:val="32"/>
          <w:szCs w:val="32"/>
          <w:lang w:val="uk-UA"/>
        </w:rPr>
      </w:pPr>
      <w:r/>
      <w:bookmarkStart w:id="8" w:name="_heading=h.c0aizzdusdoc"/>
      <w:r/>
      <w:bookmarkEnd w:id="8"/>
      <w:r>
        <w:rPr>
          <w:rFonts w:ascii="Times New Roman" w:hAnsi="Times New Roman" w:eastAsia="Times New Roman" w:cs="Times New Roman"/>
          <w:b/>
          <w:sz w:val="32"/>
          <w:szCs w:val="32"/>
          <w:lang w:val="uk-UA"/>
        </w:rPr>
        <w:t xml:space="preserve">Менська гімназія Менської міської ради на 2025–2027 роки</w:t>
      </w:r>
      <w:r>
        <w:rPr>
          <w:rFonts w:ascii="Times New Roman" w:hAnsi="Times New Roman" w:eastAsia="Times New Roman" w:cs="Times New Roman"/>
          <w:b/>
          <w:sz w:val="32"/>
          <w:szCs w:val="32"/>
          <w:lang w:val="uk-UA"/>
        </w:rPr>
      </w:r>
    </w:p>
    <w:p>
      <w:pPr>
        <w:pBdr/>
        <w:spacing w:line="240" w:lineRule="auto"/>
        <w:ind/>
        <w:jc w:val="right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>
        <w:rPr>
          <w:rFonts w:ascii="Times New Roman" w:hAnsi="Times New Roman" w:eastAsia="Times New Roman" w:cs="Times New Roman"/>
          <w:sz w:val="28"/>
          <w:szCs w:val="28"/>
          <w:lang w:val="uk-UA"/>
        </w:rPr>
      </w:r>
      <w:r>
        <w:rPr>
          <w:rFonts w:ascii="Times New Roman" w:hAnsi="Times New Roman" w:eastAsia="Times New Roman" w:cs="Times New Roman"/>
          <w:sz w:val="28"/>
          <w:szCs w:val="28"/>
          <w:lang w:val="uk-UA"/>
        </w:rPr>
      </w:r>
    </w:p>
    <w:tbl>
      <w:tblPr>
        <w:tblW w:w="15330" w:type="dxa"/>
        <w:tblInd w:w="-26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430"/>
        <w:gridCol w:w="2850"/>
        <w:gridCol w:w="5010"/>
        <w:gridCol w:w="1650"/>
        <w:gridCol w:w="1395"/>
        <w:gridCol w:w="1995"/>
      </w:tblGrid>
      <w:tr>
        <w:trPr>
          <w:trHeight w:val="699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vMerge w:val="restart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Стратегічні цілі/  операційні цілі/ завдання/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(заходи)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vMerge w:val="restart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Результат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vMerge w:val="restart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Індикатор результату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vMerge w:val="restart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Термін виконання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vMerge w:val="restart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Відповідальний за виконання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vMerge w:val="restart"/>
            <w:textDirection w:val="lrTb"/>
            <w:noWrap w:val="false"/>
          </w:tcPr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Передбачувані джерела фінансування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/>
            <w:bookmarkStart w:id="9" w:name="_heading=h.56pzaoxdsgak"/>
            <w:r/>
            <w:bookmarkEnd w:id="9"/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Державний бюджет (1)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Обласний бюджет (2)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Місцевий бюджет  (3)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widowControl w:val="false"/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Інші джерела, не заборонені законодавством (4)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</w:tr>
      <w:tr>
        <w:trPr>
          <w:trHeight w:val="1214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Стратегічна ціль 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.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Сучасний, комфортний, вільний від будь-яких форм насильства та дискримінації, інклюзивний,  мотивуючий освітній простір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Освітній простір закладу освіти з сучасним технічним обладнанням, комфортними та оновленими приміщеннями, адаптованими для людей з обмеженими можливостями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завершення ремонту навчальних кабінетів відповідно до сучасних норм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про доступність приміщень закладу освіти  для маломобільних груп населення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учасників/учасниць освітнього процесу, які вважають освітній простір сучасним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учасників/учасниць освітнього процесу, які вважають освітній простір безпечним і комфортним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 з ООП та батьків,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які вважають, що освітній простір організовано з урахуванням потреб таких учасників/учасниць освітнього процесу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1,3,4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1192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Оперативна ціль 1.1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Осучаснити освітнє середовище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Освітній простір закладу освіти  є сучасним з комфортними та оновленими приміщеннями, з якісним освітленням та технічними засобами навчання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1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оснащення навчальних кабінетів засобами візуалізації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в навчальних кабінетах нових меблів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у кожного педагогічного працівника/працівниці персонального комп'ютера для роботи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педагогічних працівників/працівниць, які стверджують, що ефективність їх діяльності підвищилась завдяки наявним засобам візуалізації та персональним комп’ютерам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1,3,4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916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1.1.1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 w:before="240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Облаштовано навчальні кабінети відповідно до нормативних вимог та сучасних потреб щодо здійснення ефективного освітнього процесу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 кожному навчальному кабінеті є засоби візуалізації. Персональними комп’ютерами забезпечені всі педагогічні працівники/працівниці.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1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оснащення навчальних кабінетів засобами візуалізації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в навчальних кабінетах нових меблів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у кожного педагогічного працівника/працівниці персонального комп'ютера для роботи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1,3,4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8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1.1.1 «Сучасне освітнє середовище»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1.1.2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 w:before="240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Створено сучасний спортивний простір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з урахуванням універсального дизайну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Спортивний простір є сучасним та враховує потреби всіх учасників/учасниць освітнього процесу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облаштованого сучасного спортивного майданчика з тренажерами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облаштованого сучасного баскетбольного, волейбольного майданчиків, бігових доріжок, стрибкові ями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облаштованої сучасної спортивної зали з відповідним наповненням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 всіх адаптованих приміщення для людей з обмеженими можливостями (та/ні)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 з ООП та батьків, які вважають, що освітній простір організовано з урахуванням потреб таких учасників/учасниць освітнього процесу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1,3,4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1.1.2 «Спорт для всіх»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1.1.3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 w:before="240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Проведено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термомодернізацію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 будівлі закладу освіти з переведенням на  альтернативні джерела електроенергії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Енергоефективний заклад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4"/>
              </w:numPr>
              <w:pBdr/>
              <w:spacing w:after="200" w:line="240" w:lineRule="auto"/>
              <w:ind w:left="4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здійснення утеплення фасадів головного корпусу закладу освіти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4"/>
              </w:numPr>
              <w:pBdr/>
              <w:spacing w:after="200" w:line="240" w:lineRule="auto"/>
              <w:ind w:left="4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встановлення енергоефективних радіаторів в головному корпусі закладу освіти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4"/>
              </w:numPr>
              <w:pBdr/>
              <w:spacing w:after="200" w:line="240" w:lineRule="auto"/>
              <w:ind w:left="4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переходу закладу освіти на альтернативні джерела енергоспоживання за рахунок збільшення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потужностей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встановлених сонячних панелей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1,3,4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1.1.3 «Енергоефективний заклад освіти»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1.1.4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Створено на базі бібліотеки інформаційно-ресурсний центр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Функціонуючий інформаційно-ресурсний центр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9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в інформаційно-ресурсному центрі облаштованих місць з персональними комп’ютерами для роботи в онлайн бібліотеках, для самопідготовки (так/ні).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9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в інформаційно-ресурсному центрі облаштованої читацької зали  зі зручними меблями, якісним освітленням та вільним доступом до книжкового ресурсу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9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“задоволених читачів”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9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використовують  інформаційно-ресурсний центр для самопідготовки 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1.1.4  “Інформаційно-ресурсний центр”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1.1.5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 w:before="240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Облаштовано простір для психологічного розвантаження  учнів/учениць та педагогічних працівників/працівниць закладу освіти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з дотриманням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принципів універсального дизайну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Простір для психологічного розвантаження учасників/учасниць освітнього процесу є психологічно та фізично комфортним, функціональним  та адаптований відповідно до принципів універсального дизайну (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спрямований на розкриття освітнього й особистісного потенціалу та подолання бар’єрів соціалізації).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2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 та батьків, які стверджують, що даний простір для психологічного розвантаження спрямований на розкриття освітнього й особистісного потенціалу та подолання бар’єрів соціалізації.(%,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 освіти, які ефективно оцінюють роботу психологічного простору (%, за даними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здійснення психологічного супроводу  учнів/учениць з особливими освітніми потребами у період адаптації  до навчання в основній школі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Вдало підібране оснащення дозволяє досягати кращих і більш стабільних результатів з навчання та соціалізації учнів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облаштованого сенсорного куточка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сучасного  мультимедійного обладнання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дидактичних та розвиваючих іграшок з урахуванням індивідуальних та особливих освітніх потреб учнів/учениць (так/ні)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right="-140" w:left="6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1.1.5 «Простір психологічного розвантаження - крок до успішної соціалізації»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Оперативна ціль 1.2.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Створити толерантне освітнє середовище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Заклад освіти вільний від проявів будь-яких форм насильства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учні/учениць обізнаних щодо алгоритму дій у випадках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булінгу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/цькування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Ефективність праці Ради профілактики правопорушень (так\ні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Розроблено базу інструментарію для діагностування рівня напруги, тривожності в учнівському та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педагогічному колективах (так/ні/частково)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1.2.1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Створено безпечне</w:t>
            </w:r>
            <w:r>
              <w:rPr>
                <w:rFonts w:ascii="Times New Roman" w:hAnsi="Times New Roman" w:eastAsia="Times New Roman" w:cs="Times New Roman"/>
                <w:color w:val="444746"/>
                <w:sz w:val="24"/>
                <w:szCs w:val="24"/>
                <w:highlight w:val="white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освітнє середовище з урахуванням принципів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інклюзивності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Заклад освіти відповідає вимогам фізично- безпечного середовища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10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в закладі освіти безпечного укриття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0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створення безпечної та захищеної території освітнього закладу, яка не доступна для сторонніх осіб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0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 дотримання в закладі освіти  санітарно-гігієнічних норм чистоти приміщень (так/ні,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0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впровадження в закладі освіти  системи НАССР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0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обізнаності серед педагогічних працівників/працівниць щодо правил та процедур безпеки в закладі освіти та поза його межами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3, 4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1.2.1  ««Стоп БУЛІНГ» заклад освіти — толерантне середовище»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yellow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1.2.1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Створено безпечне</w:t>
            </w:r>
            <w:r>
              <w:rPr>
                <w:rFonts w:ascii="Times New Roman" w:hAnsi="Times New Roman" w:eastAsia="Times New Roman" w:cs="Times New Roman"/>
                <w:color w:val="444746"/>
                <w:sz w:val="24"/>
                <w:szCs w:val="24"/>
                <w:highlight w:val="white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освітнє середовище з урахуванням принципів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інклюзивності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Шкільна служба порозуміння активно діє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16"/>
              </w:numPr>
              <w:pBdr/>
              <w:spacing w:after="200" w:line="240" w:lineRule="auto"/>
              <w:ind w:left="4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Ефективність роботи шкільної служби порозуміння, яка діє в закладі освіти на постійній основі  (так/ні за результатами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6"/>
              </w:numPr>
              <w:pBdr/>
              <w:spacing w:after="200" w:line="240" w:lineRule="auto"/>
              <w:ind w:left="425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учасників/учасниць освітнього процесу поінформованих щодо діяльності служби порозуміння, які регулярно звертаються для вирішення конфліктних ситуацій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4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1.2.1  «Шкільна служба порозуміння»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1.2.2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Здійснено заходи задля сприяння дотриманню учасниками/учасницями освітнього процесу правил, визначених у Положенні про освітнє середовище, вільне від будь-яких форм насильства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Освітнє середовище вільне від будь-яких форм насильства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19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педагогічних працівників/працівниць, учнів/учениць які обізнані щодо алгоритму дій у випадках насильства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6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здійснення постійного  моніторингу виконання та регулярного перегляду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антинасильницької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політики (так\ні)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6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розроблених інструкцій для батьків, які допомагають виявляти ознаки того, що їхня дитина стала жертвою-ініціатором чи свідком насильства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1.2.2 «Вільні та рівні»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Оперативна ціль 1.3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Створити інклюзивне,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безбар’єрне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освітнє середовище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Заклад освіти - простір необмежених можливостей, в якому враховуються інтереси кожного.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банку  учнів/учениць з ООП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реалізації прав учнів/учениць з ООП щодо рівного доступу до якісної освіти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психолого - педагогічного супроводу дітей з  ООП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Кількість проведених практичним психологом заходів для учнів/учениць і батьків, спрямованих на соціальну адаптацію та гармонійний розвиток осіб з ООП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активної участі батьків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учнів/учениць  з ООП в освітньому процесі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Кількість туалетних кімнат, облаштованих з урахуванням інклюзивних потреб (од.)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1,3,4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1.3.1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абезпечено архітектурну доступність приміщень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Заклад освіти має облаштування архітектурної  доступності для маломобільних груп населення та осіб з ООП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пандусів та поручнів для безперешкодного доступу маломобільних груп населення до поверхів будівлі закладу освіти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ліфту для осіб з ООП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пандусів та поручнів для безперешкодного доступу маломобільних груп населення до поверхів будівлі закладу освіти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 1.3.1  «Інклюзія в освітньому середовищі: рівні серед рівних»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</w:tr>
      <w:tr>
        <w:trPr>
          <w:trHeight w:val="36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1.3.1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абезпечено архітектурну доступність приміщень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Приміщення закладу освіти пристосовані до потреб маломобільних учасників освітнього процесу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маломобільних учасників освітнього процесу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туалетних кімнат, облаштованих з урахуванням потреб осіб з ООП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класних кімнат які облаштовані відповідно до потреб учнів з ООП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пристосувань для людей, які погано бачать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7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учасників/учасниць освітнього процесу, які  позитивно оцінюють забезпечення архітектурної доступності для маломобільних груп населення та осіб з особливими освітніми потребами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1.3.1 «Шкільний простір як модель толерантного суспільства»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2632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1.3.2.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Доукомплектовано тренажерами та корекційно-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розвитковим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обладнанням ресурсну кімнату та кімнату лікувальної фізкультури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Ресурсна кімната та кімната лікувальної фізкультури укомплектована сучасним корекційно-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розвитковим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обладнанням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18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наявність сучасних тренажерів для занять лікувальною фізкультурою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8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ресурсної кімнати оснащеної обладнанням, що спрямоване на гармонійний емоційний, психічний та фізичний розвиток учнів/учениць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8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Факт наявності сенсорної кімнати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left="28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1.3.2  «Ресурсна кімната - інклюзивний простір у закладі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» 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 w:right="-224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Стратегічна ціль. ІІ.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Ефективна внутрішня система забезпечення якості освіти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Система оцінювання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грунтується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на особистісно орієнтованому та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компетентісному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підходах. Визначає різні форми та методи оцінювання; враховує особливості психофізичного розвитку учнів/учениць; має у своїй основі чіткі зрозумілі умови до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навчальних результатів. Розвиває в учнів/учениць впевненість у своїх здібностях і можливостях; використовує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самооцінювання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та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взаємооцінювання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як важливий елемент освітньої діяльності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numPr>
                <w:ilvl w:val="0"/>
                <w:numId w:val="5"/>
              </w:numPr>
              <w:pBdr/>
              <w:spacing w:after="200" w:line="240" w:lineRule="auto"/>
              <w:ind w:right="278"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випускників/випускниць базової середньої освіти, які досягають достатнього рівня за результатами ДПА з української мови,   математики, історії України, англійської мови (%, за умови проведення ДПА*)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5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 які досягають достатнього рівня за результатами внутрішнього моніторингу предметів інваріантної складової робочого плану (%, за даними моніторингу)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5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 мають позитивну динаміку результатах навчання за період навчального року (%, за даними моніторингу)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 w:left="72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Оперативна ціль 2.1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Розробити та запровадити прозору систему оцінювання навчальних досягнень учнів/учениць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Процедура оцінювання є чіткою, справедливою,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компетентнісно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орієнтованою та формувальною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>
              <w:bottom w:val="single" w:color="050505" w:sz="6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numPr>
                <w:ilvl w:val="0"/>
                <w:numId w:val="13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 та батьків, які стверджують, що   поінформовані про критерії, правила і процедури оцінювання навчальних досягнень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13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зазначають, що розуміють пропоновані критерії оцінювання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13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вважають оцінювання навчальних досягнень справедливим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13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 та батьків, які стверджують, що   педагогічні працівники/працівниці систематично використовують формувальне оцінювання навчальних досягнень учнів/учениць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13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зафіксованих конфліктних ситуацій, пов’язаних з оцінюванням навчальних результатів учнів/учениць (за рік, од.)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13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педагогічних працівників/працівниць, які використовують формувальне оцінювання навчальних досягнень учнів/учениць (% за даними опитування, спостереження)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Заступник директора з методичної роботи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2.1.1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апроваджено в освітньому процесі сучасну систему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самооцінювання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 учнів/учениць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>
              <w:right w:val="single" w:color="050505" w:sz="6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Учні/учениці  чітко розуміють систему та критерії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самооцінювання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>
              <w:top w:val="single" w:color="050505" w:sz="6" w:space="0"/>
              <w:left w:val="single" w:color="050505" w:sz="6" w:space="0"/>
              <w:bottom w:val="single" w:color="050505" w:sz="6" w:space="0"/>
              <w:right w:val="single" w:color="050505" w:sz="6" w:space="0"/>
            </w:tcBorders>
            <w:tcMar>
              <w:left w:w="40" w:type="dxa"/>
              <w:top w:w="40" w:type="dxa"/>
              <w:right w:w="40" w:type="dxa"/>
              <w:bottom w:w="40" w:type="dxa"/>
            </w:tcMar>
            <w:tcW w:w="5010" w:type="dxa"/>
            <w:vAlign w:val="bottom"/>
            <w:textDirection w:val="lrTb"/>
            <w:noWrap w:val="false"/>
          </w:tcPr>
          <w:p>
            <w:pPr>
              <w:numPr>
                <w:ilvl w:val="0"/>
                <w:numId w:val="25"/>
              </w:numPr>
              <w:pBdr/>
              <w:spacing w:after="200" w:line="240" w:lineRule="auto"/>
              <w:ind w:hanging="283"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зазначають, що розуміють пропоновані критерії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самооцінювання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25"/>
              </w:numPr>
              <w:pBdr/>
              <w:spacing w:after="200" w:line="240" w:lineRule="auto"/>
              <w:ind w:hanging="283"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вважають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самооцінювання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навчальних досягнень справедливим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25"/>
              </w:numPr>
              <w:pBdr/>
              <w:spacing w:after="200" w:line="240" w:lineRule="auto"/>
              <w:ind w:hanging="283"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здатні оцінювати власну стратегію розвитку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25"/>
              </w:numPr>
              <w:pBdr/>
              <w:spacing w:after="200" w:line="240" w:lineRule="auto"/>
              <w:ind w:hanging="283"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вмотивовані до підвищення рівня знань 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>
              <w:left w:val="single" w:color="050505" w:sz="6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Заступник директора з методичної роботи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4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2.1.1 «Переборюємо труднощі, радіємо успіхам»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2.1.2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Забезпечено використання в освітньому процесі процедур та критеріїв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взаємооцінювання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 учнів/учениць, які є зрозумілими для них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Учні/учениці чітко розуміють систему та критерії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взаємооцінювання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. Система моніторингу результатів навчання учнів/учениць відповідає освітнім нормам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numPr>
                <w:ilvl w:val="0"/>
                <w:numId w:val="8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зазначають, що розуміють пропоновані критерії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взаємооцінювання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numPr>
                <w:ilvl w:val="0"/>
                <w:numId w:val="8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вважають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взаємооцінювання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навчальних досягнень справедливим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8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учнів/учениць, які виявляють толерантність 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взаємооцінюванні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(%, за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2025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Заступник директора з методичної роботи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4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2.1.2 «Партнерська взаємодія»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Оперативна ціль 2.2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Розробити та запровадити систему внутрішнього моніторингу якості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 освітньому закладі діє система внутрішнього моніторингу якості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3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розробленої, схваленої педагогічною радою та функціонуючої  внутрішньої системи моніторингу якості освіти: рейтингових систем успішності по класах, предметах та педагогічних працівниках/працівницях 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3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вхідних та  вихідних опитувань учасників/учасниць освітнього процесу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2025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2.2.1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Розроблено і запроваджено систему моніторингу результатів навчання учнів/учениць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 освітньому закладі діє система моніторингу результатів навчання учнів/учениць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6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вхідного та вихідного оцінювання рівня знань учнів/учениць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6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проведення опитування учасників/учасниць освітнього процесу(так/ні)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6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розроблених педагогічними працівниками/працівницями критеріїв оцінювання різних видів освітньої  діяльності учнів/учениць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6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Факт наявності у закладі освіти оприлюдненої інформації про критерії оцінювання результатів навчання учнів/учениць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6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учнів/учениць поінформованих про правила і процедури оцінювання з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предметів та курсів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</w:tr>
      <w:tr>
        <w:trPr>
          <w:trHeight w:val="440"/>
        </w:trPr>
        <w:tc>
          <w:tcPr>
            <w:gridSpan w:val="5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335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2.2.1 «Моніторинг якості освітнього процесу» 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 w:hanging="425" w:left="425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2.2.2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Забезпечено систематичне надання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зворотного зв’язку учням/ученицям, їх батькам  щодо динаміки навчального поступу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Партнерські стосунки педагогічних працівників/працівниць із батьками забезпечують максимальну підтримку дітям у процесі розвитку, навчання та виховання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15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учнів/учениць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 та батьків, які стверджують про об’єктивність оцінювання результатів навчання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5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учнів/учениць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 та їх батьків, які стверджують, що педагогічні працівники/працівниці регулярно спілкуються з батьками для підвищення рівня підтримки дітей у процесі навчання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5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батьків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учнів/учениць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, які стверджують, що у закладі освіти налагоджена конструктивна комунікація педагогічних працівників/працівниць із батьками учнів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/учениць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5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батьків, які стверджують, що педагогічні працівники/працівниці регулярно надають інформацію щодо розвитку і навчання дитини, яку батьки можуть використати вдома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Заступник директора з навчально-виховної роботи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</w:tr>
      <w:tr>
        <w:trPr>
          <w:trHeight w:val="44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2.2.2 «Відповідальне батьківство»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left w:w="100" w:type="dxa"/>
              <w:top w:w="0" w:type="dxa"/>
              <w:right w:w="100" w:type="dxa"/>
              <w:bottom w:w="0" w:type="dxa"/>
            </w:tcMar>
            <w:tcW w:w="2430" w:type="dxa"/>
            <w:textDirection w:val="lrTb"/>
            <w:noWrap w:val="false"/>
          </w:tcPr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2.2.3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Впроваджено систему  забезпечення академічної доброчесності в закладі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 w:before="240"/>
              <w:ind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Розвинута  культура академічної доброчесності учасників/учасниць освітнього процесу забезпечує довіру до результатів навчання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pBdr/>
              <w:spacing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2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Педагогічні працівники/працівниці та учні/учениці  роблять посилання на джерела інформації у разі використання ідей, розробок, тверджень, відомостей (так/ні/частково)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2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учнів/учениць, як стверджують, що педагогічні працівники/працівниці, інформують здобувачів/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ок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 освіти про принципи та визначені законом правила академічної доброчесності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2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 учнів/учениць та батьків, які позитивно оцінюють контроль за дотриманням академічної доброчесності здобувачами/здобувачками освіти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2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стверджують що дотримуються норм законодавства про авторське право і суміжні права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2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учнів/учениць, які зазначають про відсутність практики списування у закладі освіти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22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учасників/учасниць освітнього процесу, які зазначають про відсутність практики хабарництва у закладі освіти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Заступник директора з навчально-виховної роботи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</w:tr>
      <w:tr>
        <w:trPr>
          <w:trHeight w:val="44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2.2.3 «Чесність викликає довіру»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Оперативна ціль 2.3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Оптимізувати кадрове забезпечення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Педагогічні працівники/працівниці розвивають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інноваційність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 освітнього процесу через розкриття власного творчого потенціалу та професійне вдосконалення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 w:hanging="360"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●   Факт впровадження програми морального та матеріального заохочення творчих педагогічних працівників/працівниць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 w:hanging="360"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●   Факт проведення діагностування потреб педагогічних працівників/працівниць у методичній підтримці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беруть участь в інноваційній роботі, ініціюють та/або реалізують освітні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проєкти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 (%, за даними аналізу документації)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застосовують інформаційно-комунікаційні (цифрові) технології в освітньому процесі (%, за даними опитування, спостереження)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позитивно оцінюють організацію методичної роботи в закладі освіти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позитивно оцінюють створені в закладі освіти умови для обміну педагогічним досвідом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стверджують, що їхні потреби враховуються під час планування методичної роботи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4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Кількість проведених колективних, групових, індивідуальних методичних заходів (од., за рік)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23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популяризують свій успішний досвід, беручи участь в науково-методичних заходах на регіональному, всеукраїнському та міжнародному рівнях (%, за рік)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2.3.1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Забезпечено ефективну методичну підтримку професійного зростання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в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міжатестаційний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період педагогічних працівників/працівниць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Персоніфікований підхід до організації методичної роботи сприяє професійному розвитку педагогічних працівників/працівниць закладу освіти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widowControl w:val="false"/>
              <w:numPr>
                <w:ilvl w:val="0"/>
                <w:numId w:val="21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педагогічних працівників/працівниць, які успішно пройшли атестацію та підвищили свій кваліфікаційний рівень (% від загальної кількості учасників/учасниць атестації)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1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педагогічних працівників/працівниць, які успішно пройшли сертифікацію (% від загальної кількості зареєстрованих в закладі освіти);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1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педагогічних працівників/працівниць-експертів, які пройшли навчання та залучаються до проведення інституційних аудитів (% від загальної кількості вчителів)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1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педагогічних працівників/працівниць, які стверджують, що в закладі освіти на високому та достатньому рівні створені умови для професійного становлення та розвитку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1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педагогічних працівників/працівниць, які стверджують про наявність високої мотивації до професійного саморозвитку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pBdr/>
              <w:spacing w:line="240" w:lineRule="auto"/>
              <w:ind w:hanging="360"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●   Відсоток молодих педагогічних працівників/працівниць, які стверджують про наявність достатньої підтримки у процесі адаптації до професійної діяльності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20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педагогічних працівників/працівниць, які стверджують, що організована в закладі освіти методична робота сприяє впровадженню інновацій в освітній процес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</w:tr>
      <w:tr>
        <w:trPr>
          <w:trHeight w:val="44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2.3.1 «Від успішного вчителя/вчительки до успішного учня/учениці»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</w:tr>
      <w:tr>
        <w:trPr>
          <w:trHeight w:val="400"/>
        </w:trPr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430" w:type="dxa"/>
            <w:textDirection w:val="lrTb"/>
            <w:noWrap w:val="false"/>
          </w:tcPr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Завдання 2.3.2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  <w:p>
            <w:pPr>
              <w:pBdr/>
              <w:spacing w:line="240" w:lineRule="auto"/>
              <w:ind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Упроваджено використання карток особистісного зростання та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самооцінювання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педагогічної діяльності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285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Педагогічні працівники/працівниці вмотивовані до розвитку професійної компетентності задля здійснення ефективної педагогічної діяльності, спрямованої на надання якісних освітніх послуг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5010" w:type="dxa"/>
            <w:textDirection w:val="lrTb"/>
            <w:noWrap w:val="false"/>
          </w:tcPr>
          <w:p>
            <w:pPr>
              <w:numPr>
                <w:ilvl w:val="0"/>
                <w:numId w:val="11"/>
              </w:numPr>
              <w:pBdr/>
              <w:spacing w:after="200" w:line="240" w:lineRule="auto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Відсоток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педагогічних працівників/працівниць, які 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икористовують картки особистісного зростання та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самооцінювання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 педагогічної діяльності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</w:r>
          </w:p>
          <w:p>
            <w:pPr>
              <w:widowControl w:val="false"/>
              <w:numPr>
                <w:ilvl w:val="0"/>
                <w:numId w:val="11"/>
              </w:numPr>
              <w:pBdr/>
              <w:spacing w:after="200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Факт наявності індивідуальних програм професійного розвитку педагогічних працівників/працівниць (так/ні)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1"/>
              </w:numPr>
              <w:pBdr/>
              <w:spacing w:after="200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стверджують про наявність моральної підтримки при здійсненні своєї професійної діяльності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1"/>
              </w:numPr>
              <w:pBdr/>
              <w:spacing w:after="200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позитивно оцінюють створені умови для реалізації права на академічну свободу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1"/>
              </w:numPr>
              <w:pBdr/>
              <w:spacing w:after="200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Відсоток педагогічних працівників/працівниць, які позитивно оцінюють створені умови для реалізації права вибору місця і способу підвищення кваліфікації (%, за даними опитування)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  <w:p>
            <w:pPr>
              <w:widowControl w:val="false"/>
              <w:numPr>
                <w:ilvl w:val="0"/>
                <w:numId w:val="11"/>
              </w:numPr>
              <w:pBdr/>
              <w:spacing w:after="200"/>
              <w:ind w:left="425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Кількість проведених психолого-педагогічних заходів для підвищення мотивації педагогічних працівників/працівниць до професійного розвитку (од., за рік)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650" w:type="dxa"/>
            <w:textDirection w:val="lrTb"/>
            <w:noWrap w:val="false"/>
          </w:tcPr>
          <w:p>
            <w:pPr>
              <w:widowControl w:val="false"/>
              <w:pBdr/>
              <w:spacing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3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 xml:space="preserve">Керівник закладу освіти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highlight w:val="white"/>
                <w:lang w:val="uk-UA"/>
              </w:rPr>
            </w:r>
          </w:p>
        </w:tc>
        <w:tc>
          <w:tcPr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995" w:type="dxa"/>
            <w:textDirection w:val="lrTb"/>
            <w:noWrap w:val="false"/>
          </w:tcPr>
          <w:p>
            <w:pPr>
              <w:widowControl w:val="false"/>
              <w:pBdr/>
              <w:spacing w:line="240" w:lineRule="auto"/>
              <w:ind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  <w:t xml:space="preserve">3,4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white"/>
                <w:lang w:val="uk-UA"/>
              </w:rPr>
            </w:r>
          </w:p>
        </w:tc>
      </w:tr>
      <w:tr>
        <w:trPr>
          <w:trHeight w:val="440"/>
        </w:trPr>
        <w:tc>
          <w:tcPr>
            <w:gridSpan w:val="6"/>
            <w:tcBorders/>
            <w:tcMar>
              <w:left w:w="100" w:type="dxa"/>
              <w:top w:w="100" w:type="dxa"/>
              <w:right w:w="100" w:type="dxa"/>
              <w:bottom w:w="100" w:type="dxa"/>
            </w:tcMar>
            <w:tcW w:w="15330" w:type="dxa"/>
            <w:textDirection w:val="lrTb"/>
            <w:noWrap w:val="false"/>
          </w:tcPr>
          <w:p>
            <w:pPr>
              <w:pBdr/>
              <w:spacing w:line="240" w:lineRule="auto"/>
              <w:ind w:hanging="360" w:left="425"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Проєкт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  <w:t xml:space="preserve"> розвитку 2.3.2 «Вмотивований учитель/учителька-успішний учитель/учителька»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val="uk-UA"/>
              </w:rPr>
            </w:r>
          </w:p>
        </w:tc>
      </w:tr>
    </w:tbl>
    <w:p>
      <w:pPr>
        <w:pBdr/>
        <w:spacing/>
        <w:ind w:right="-722"/>
        <w:rPr>
          <w:rFonts w:ascii="Times New Roman" w:hAnsi="Times New Roman" w:eastAsia="Times New Roman" w:cs="Times New Roman"/>
          <w:sz w:val="28"/>
          <w:szCs w:val="28"/>
          <w:lang w:val="uk-UA"/>
        </w:rPr>
      </w:pPr>
      <w:r/>
      <w:bookmarkStart w:id="10" w:name="_heading=h.47evtsytsb4x"/>
      <w:r/>
      <w:bookmarkStart w:id="11" w:name="_heading=h.aoks3ojcpw4"/>
      <w:r/>
      <w:bookmarkStart w:id="12" w:name="_heading=h.mfro7umru0lt"/>
      <w:r/>
      <w:bookmarkEnd w:id="10"/>
      <w:r/>
      <w:bookmarkEnd w:id="11"/>
      <w:r/>
      <w:bookmarkEnd w:id="12"/>
      <w:r/>
      <w:r>
        <w:rPr>
          <w:rFonts w:ascii="Times New Roman" w:hAnsi="Times New Roman" w:eastAsia="Times New Roman" w:cs="Times New Roman"/>
          <w:sz w:val="28"/>
          <w:szCs w:val="28"/>
          <w:lang w:val="uk-UA"/>
        </w:rPr>
      </w:r>
    </w:p>
    <w:sectPr>
      <w:footnotePr/>
      <w:endnotePr/>
      <w:type w:val="nextPage"/>
      <w:pgSz w:h="11906" w:orient="landscape" w:w="16838"/>
      <w:pgMar w:top="850" w:right="1134" w:bottom="709" w:left="1134" w:header="708" w:footer="708" w:gutter="0"/>
      <w:pgNumType w:start="1"/>
      <w:cols w:num="1" w:sep="0" w:space="720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</w:font>
  <w:font w:name="Roboto">
    <w:panose1 w:val="02070409020205020404"/>
  </w:font>
  <w:font w:name="Gungsuh">
    <w:panose1 w:val="02020603020101020101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/>
      <w:ind/>
      <w:rPr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/>
      <w:ind/>
      <w:jc w:val="center"/>
      <w:rPr/>
    </w:pPr>
    <w:r>
      <w:fldChar w:fldCharType="begin"/>
    </w:r>
    <w:r>
      <w:instrText xml:space="preserve">PAGE</w:instrText>
    </w:r>
    <w:r>
      <w:fldChar w:fldCharType="separate"/>
    </w:r>
    <w:r>
      <w:t xml:space="preserve">2</w:t>
    </w:r>
    <w:r>
      <w:fldChar w:fldCharType="end"/>
    </w:r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Bdr/>
      <w:spacing/>
      <w:ind/>
      <w:jc w:val="right"/>
      <w:rPr/>
    </w:pPr>
    <w:r>
      <w:fldChar w:fldCharType="begin"/>
    </w:r>
    <w:r>
      <w:instrText xml:space="preserve">PAGE</w:instrText>
    </w:r>
    <w:r>
      <w:fldChar w:fldCharType="separate"/>
    </w:r>
    <w:r>
      <w:t xml:space="preserve">1</w:t>
    </w:r>
    <w:r>
      <w:fldChar w:fldCharType="end"/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2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3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4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5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6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7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8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9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0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1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2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3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4">
    <w:lvl w:ilvl="0">
      <w:isLgl w:val="false"/>
      <w:lvlJc w:val="left"/>
      <w:lvlText w:val="●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648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7200"/>
      </w:pPr>
      <w:rPr>
        <w:u w:val="none"/>
      </w:rPr>
      <w:start w:val="1"/>
      <w:suff w:val="tab"/>
    </w:lvl>
  </w:abstractNum>
  <w:abstractNum w:abstractNumId="15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6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7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8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19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20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21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22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23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24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25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abstractNum w:abstractNumId="26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num w:numId="1">
    <w:abstractNumId w:val="23"/>
  </w:num>
  <w:num w:numId="2">
    <w:abstractNumId w:val="20"/>
  </w:num>
  <w:num w:numId="3">
    <w:abstractNumId w:val="7"/>
  </w:num>
  <w:num w:numId="4">
    <w:abstractNumId w:val="15"/>
  </w:num>
  <w:num w:numId="5">
    <w:abstractNumId w:val="10"/>
  </w:num>
  <w:num w:numId="6">
    <w:abstractNumId w:val="16"/>
  </w:num>
  <w:num w:numId="7">
    <w:abstractNumId w:val="6"/>
  </w:num>
  <w:num w:numId="8">
    <w:abstractNumId w:val="4"/>
  </w:num>
  <w:num w:numId="9">
    <w:abstractNumId w:val="13"/>
  </w:num>
  <w:num w:numId="10">
    <w:abstractNumId w:val="24"/>
  </w:num>
  <w:num w:numId="11">
    <w:abstractNumId w:val="26"/>
  </w:num>
  <w:num w:numId="12">
    <w:abstractNumId w:val="14"/>
  </w:num>
  <w:num w:numId="13">
    <w:abstractNumId w:val="2"/>
  </w:num>
  <w:num w:numId="14">
    <w:abstractNumId w:val="25"/>
  </w:num>
  <w:num w:numId="15">
    <w:abstractNumId w:val="12"/>
  </w:num>
  <w:num w:numId="16">
    <w:abstractNumId w:val="18"/>
  </w:num>
  <w:num w:numId="17">
    <w:abstractNumId w:val="19"/>
  </w:num>
  <w:num w:numId="18">
    <w:abstractNumId w:val="5"/>
  </w:num>
  <w:num w:numId="19">
    <w:abstractNumId w:val="11"/>
  </w:num>
  <w:num w:numId="20">
    <w:abstractNumId w:val="0"/>
  </w:num>
  <w:num w:numId="21">
    <w:abstractNumId w:val="17"/>
  </w:num>
  <w:num w:numId="22">
    <w:abstractNumId w:val="1"/>
  </w:num>
  <w:num w:numId="23">
    <w:abstractNumId w:val="8"/>
  </w:num>
  <w:num w:numId="24">
    <w:abstractNumId w:val="3"/>
  </w:num>
  <w:num w:numId="25">
    <w:abstractNumId w:val="9"/>
  </w:num>
  <w:num w:numId="26">
    <w:abstractNumId w:val="2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uk" w:eastAsia="ru-RU" w:bidi="ar-SA"/>
      </w:rPr>
    </w:rPrDefault>
    <w:pPrDefault>
      <w:pPr>
        <w:pBdr/>
        <w:spacing w:after="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11">
    <w:name w:val="Table Grid"/>
    <w:basedOn w:val="771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">
    <w:name w:val="Table Grid Light"/>
    <w:basedOn w:val="77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">
    <w:name w:val="Plain Table 1"/>
    <w:basedOn w:val="77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">
    <w:name w:val="Plain Table 2"/>
    <w:basedOn w:val="771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">
    <w:name w:val="Plain Table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">
    <w:name w:val="Plain Table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">
    <w:name w:val="Plain Table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8">
    <w:name w:val="Grid Table 1 Light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9">
    <w:name w:val="Grid Table 1 Light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0">
    <w:name w:val="Grid Table 1 Light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1">
    <w:name w:val="Grid Table 1 Light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2">
    <w:name w:val="Grid Table 1 Light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3">
    <w:name w:val="Grid Table 1 Light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4">
    <w:name w:val="Grid Table 1 Light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5">
    <w:name w:val="Grid Table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6">
    <w:name w:val="Grid Table 2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7">
    <w:name w:val="Grid Table 2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8">
    <w:name w:val="Grid Table 2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29">
    <w:name w:val="Grid Table 2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0">
    <w:name w:val="Grid Table 2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1">
    <w:name w:val="Grid Table 2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2">
    <w:name w:val="Grid Table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3">
    <w:name w:val="Grid Table 3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4">
    <w:name w:val="Grid Table 3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5">
    <w:name w:val="Grid Table 3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6">
    <w:name w:val="Grid Table 3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7">
    <w:name w:val="Grid Table 3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8">
    <w:name w:val="Grid Table 3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39">
    <w:name w:val="Grid Table 4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0">
    <w:name w:val="Grid Table 4 - Accent 1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1">
    <w:name w:val="Grid Table 4 - Accent 2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2">
    <w:name w:val="Grid Table 4 - Accent 3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3">
    <w:name w:val="Grid Table 4 - Accent 4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4">
    <w:name w:val="Grid Table 4 - Accent 5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5">
    <w:name w:val="Grid Table 4 - Accent 6"/>
    <w:basedOn w:val="771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6">
    <w:name w:val="Grid Table 5 Dark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7">
    <w:name w:val="Grid Table 5 Dark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8">
    <w:name w:val="Grid Table 5 Dark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49">
    <w:name w:val="Grid Table 5 Dark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Grid Table 5 Dark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Grid Table 5 Dark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Grid Table 5 Dark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Grid Table 6 Colorful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Grid Table 6 Colorful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6 Colorful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6 Colorful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6 Colorful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6 Colorful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6 Colorful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7 Colorful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7 Colorful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7 Colorful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7 Colorful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7 Colorful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7 Colorful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7 Colorful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List Table 1 Light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List Table 1 Light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List Table 1 Light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List Table 1 Light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List Table 1 Light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List Table 1 Light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List Table 1 Light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List Table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List Table 2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List Table 2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List Table 2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List Table 2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List Table 2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List Table 2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List Table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List Table 3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List Table 3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List Table 3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List Table 3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List Table 3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List Table 3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List Table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List Table 4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List Table 4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List Table 4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List Table 4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List Table 4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List Table 4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List Table 5 Dark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List Table 5 Dark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List Table 5 Dark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List Table 5 Dark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List Table 5 Dark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List Table 5 Dark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List Table 5 Dark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List Table 6 Colorful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List Table 6 Colorful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6 Colorful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6 Colorful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6 Colorful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6 Colorful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6 Colorful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7 Colorful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7 Colorful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7 Colorful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7 Colorful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7 Colorful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7 Colorful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7 Colorful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ned - Accent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ned - Accent 1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ned - Accent 2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ned - Accent 3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ned - Accent 4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ned - Accent 5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ned - Accent 6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Bordered &amp; Lined - Accent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Bordered &amp; Lined - Accent 1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Bordered &amp; Lined - Accent 2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Bordered &amp; Lined - Accent 3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Bordered &amp; Lined - Accent 4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Bordered &amp; Lined - Accent 5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Bordered &amp; Lined - Accent 6"/>
    <w:basedOn w:val="771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Bordered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Bordered - Accent 1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Bordered - Accent 2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Bordered - Accent 3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Bordered - Accent 4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Bordered - Accent 5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Bordered - Accent 6"/>
    <w:basedOn w:val="771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44">
    <w:name w:val="Heading 7"/>
    <w:basedOn w:val="763"/>
    <w:next w:val="763"/>
    <w:link w:val="155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145">
    <w:name w:val="Heading 8"/>
    <w:basedOn w:val="763"/>
    <w:next w:val="763"/>
    <w:link w:val="156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146">
    <w:name w:val="Heading 9"/>
    <w:basedOn w:val="763"/>
    <w:next w:val="763"/>
    <w:link w:val="157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149">
    <w:name w:val="Heading 1 Char"/>
    <w:basedOn w:val="770"/>
    <w:link w:val="764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150">
    <w:name w:val="Heading 2 Char"/>
    <w:basedOn w:val="770"/>
    <w:link w:val="765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151">
    <w:name w:val="Heading 3 Char"/>
    <w:basedOn w:val="770"/>
    <w:link w:val="76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152">
    <w:name w:val="Heading 4 Char"/>
    <w:basedOn w:val="770"/>
    <w:link w:val="767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153">
    <w:name w:val="Heading 5 Char"/>
    <w:basedOn w:val="770"/>
    <w:link w:val="76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154">
    <w:name w:val="Heading 6 Char"/>
    <w:basedOn w:val="770"/>
    <w:link w:val="769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55">
    <w:name w:val="Heading 7 Char"/>
    <w:basedOn w:val="770"/>
    <w:link w:val="144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56">
    <w:name w:val="Heading 8 Char"/>
    <w:basedOn w:val="770"/>
    <w:link w:val="14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7">
    <w:name w:val="Heading 9 Char"/>
    <w:basedOn w:val="770"/>
    <w:link w:val="146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59">
    <w:name w:val="Title Char"/>
    <w:basedOn w:val="770"/>
    <w:link w:val="774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161">
    <w:name w:val="Subtitle Char"/>
    <w:basedOn w:val="770"/>
    <w:link w:val="776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62">
    <w:name w:val="Quote"/>
    <w:basedOn w:val="763"/>
    <w:next w:val="763"/>
    <w:link w:val="163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63">
    <w:name w:val="Quote Char"/>
    <w:basedOn w:val="770"/>
    <w:link w:val="162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164">
    <w:name w:val="List Paragraph"/>
    <w:basedOn w:val="763"/>
    <w:uiPriority w:val="34"/>
    <w:qFormat/>
    <w:pPr>
      <w:pBdr/>
      <w:spacing/>
      <w:ind w:left="720"/>
      <w:contextualSpacing w:val="true"/>
    </w:pPr>
  </w:style>
  <w:style w:type="character" w:styleId="165">
    <w:name w:val="Intense Emphasis"/>
    <w:basedOn w:val="770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166">
    <w:name w:val="Intense Quote"/>
    <w:basedOn w:val="763"/>
    <w:next w:val="763"/>
    <w:link w:val="167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167">
    <w:name w:val="Intense Quote Char"/>
    <w:basedOn w:val="770"/>
    <w:link w:val="166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168">
    <w:name w:val="Intense Reference"/>
    <w:basedOn w:val="770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169">
    <w:name w:val="No Spacing"/>
    <w:basedOn w:val="763"/>
    <w:uiPriority w:val="1"/>
    <w:qFormat/>
    <w:pPr>
      <w:pBdr/>
      <w:spacing w:after="0" w:line="240" w:lineRule="auto"/>
      <w:ind/>
    </w:pPr>
  </w:style>
  <w:style w:type="character" w:styleId="170">
    <w:name w:val="Subtle Emphasis"/>
    <w:basedOn w:val="770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71">
    <w:name w:val="Emphasis"/>
    <w:basedOn w:val="770"/>
    <w:uiPriority w:val="20"/>
    <w:qFormat/>
    <w:pPr>
      <w:pBdr/>
      <w:spacing/>
      <w:ind/>
    </w:pPr>
    <w:rPr>
      <w:i/>
      <w:iCs/>
    </w:rPr>
  </w:style>
  <w:style w:type="character" w:styleId="172">
    <w:name w:val="Strong"/>
    <w:basedOn w:val="770"/>
    <w:uiPriority w:val="22"/>
    <w:qFormat/>
    <w:pPr>
      <w:pBdr/>
      <w:spacing/>
      <w:ind/>
    </w:pPr>
    <w:rPr>
      <w:b/>
      <w:bCs/>
    </w:rPr>
  </w:style>
  <w:style w:type="character" w:styleId="173">
    <w:name w:val="Subtle Reference"/>
    <w:basedOn w:val="770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74">
    <w:name w:val="Book Title"/>
    <w:basedOn w:val="770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75">
    <w:name w:val="Header"/>
    <w:basedOn w:val="763"/>
    <w:link w:val="176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6">
    <w:name w:val="Header Char"/>
    <w:basedOn w:val="770"/>
    <w:link w:val="175"/>
    <w:uiPriority w:val="99"/>
    <w:pPr>
      <w:pBdr/>
      <w:spacing/>
      <w:ind/>
    </w:pPr>
  </w:style>
  <w:style w:type="paragraph" w:styleId="177">
    <w:name w:val="Footer"/>
    <w:basedOn w:val="763"/>
    <w:link w:val="178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78">
    <w:name w:val="Footer Char"/>
    <w:basedOn w:val="770"/>
    <w:link w:val="177"/>
    <w:uiPriority w:val="99"/>
    <w:pPr>
      <w:pBdr/>
      <w:spacing/>
      <w:ind/>
    </w:pPr>
  </w:style>
  <w:style w:type="paragraph" w:styleId="179">
    <w:name w:val="Caption"/>
    <w:basedOn w:val="763"/>
    <w:next w:val="763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180">
    <w:name w:val="footnote text"/>
    <w:basedOn w:val="763"/>
    <w:link w:val="181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1">
    <w:name w:val="Footnote Text Char"/>
    <w:basedOn w:val="770"/>
    <w:link w:val="180"/>
    <w:uiPriority w:val="99"/>
    <w:semiHidden/>
    <w:pPr>
      <w:pBdr/>
      <w:spacing/>
      <w:ind/>
    </w:pPr>
    <w:rPr>
      <w:sz w:val="20"/>
      <w:szCs w:val="20"/>
    </w:rPr>
  </w:style>
  <w:style w:type="character" w:styleId="182">
    <w:name w:val="footnote reference"/>
    <w:basedOn w:val="770"/>
    <w:uiPriority w:val="99"/>
    <w:semiHidden/>
    <w:unhideWhenUsed/>
    <w:pPr>
      <w:pBdr/>
      <w:spacing/>
      <w:ind/>
    </w:pPr>
    <w:rPr>
      <w:vertAlign w:val="superscript"/>
    </w:rPr>
  </w:style>
  <w:style w:type="paragraph" w:styleId="183">
    <w:name w:val="endnote text"/>
    <w:basedOn w:val="763"/>
    <w:link w:val="18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84">
    <w:name w:val="Endnote Text Char"/>
    <w:basedOn w:val="770"/>
    <w:link w:val="183"/>
    <w:uiPriority w:val="99"/>
    <w:semiHidden/>
    <w:pPr>
      <w:pBdr/>
      <w:spacing/>
      <w:ind/>
    </w:pPr>
    <w:rPr>
      <w:sz w:val="20"/>
      <w:szCs w:val="20"/>
    </w:rPr>
  </w:style>
  <w:style w:type="character" w:styleId="185">
    <w:name w:val="endnote reference"/>
    <w:basedOn w:val="770"/>
    <w:uiPriority w:val="99"/>
    <w:semiHidden/>
    <w:unhideWhenUsed/>
    <w:pPr>
      <w:pBdr/>
      <w:spacing/>
      <w:ind/>
    </w:pPr>
    <w:rPr>
      <w:vertAlign w:val="superscript"/>
    </w:rPr>
  </w:style>
  <w:style w:type="character" w:styleId="186">
    <w:name w:val="Hyperlink"/>
    <w:basedOn w:val="770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87">
    <w:name w:val="FollowedHyperlink"/>
    <w:basedOn w:val="770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97">
    <w:name w:val="TOC Heading"/>
    <w:uiPriority w:val="39"/>
    <w:unhideWhenUsed/>
    <w:pPr>
      <w:pBdr/>
      <w:spacing/>
      <w:ind/>
    </w:pPr>
  </w:style>
  <w:style w:type="paragraph" w:styleId="198">
    <w:name w:val="table of figures"/>
    <w:basedOn w:val="763"/>
    <w:next w:val="763"/>
    <w:uiPriority w:val="99"/>
    <w:unhideWhenUsed/>
    <w:pPr>
      <w:pBdr/>
      <w:spacing w:after="0" w:afterAutospacing="0"/>
      <w:ind/>
    </w:pPr>
  </w:style>
  <w:style w:type="paragraph" w:styleId="763" w:default="1">
    <w:name w:val="Normal"/>
    <w:qFormat/>
    <w:pPr>
      <w:pBdr/>
      <w:spacing/>
      <w:ind/>
    </w:pPr>
  </w:style>
  <w:style w:type="paragraph" w:styleId="764">
    <w:name w:val="Heading 1"/>
    <w:basedOn w:val="763"/>
    <w:next w:val="763"/>
    <w:uiPriority w:val="9"/>
    <w:qFormat/>
    <w:pPr>
      <w:keepNext w:val="true"/>
      <w:keepLines w:val="true"/>
      <w:pBdr/>
      <w:spacing w:after="120" w:before="400"/>
      <w:ind/>
      <w:outlineLvl w:val="0"/>
    </w:pPr>
    <w:rPr>
      <w:sz w:val="40"/>
      <w:szCs w:val="40"/>
    </w:rPr>
  </w:style>
  <w:style w:type="paragraph" w:styleId="765">
    <w:name w:val="Heading 2"/>
    <w:basedOn w:val="763"/>
    <w:next w:val="763"/>
    <w:uiPriority w:val="9"/>
    <w:unhideWhenUsed/>
    <w:qFormat/>
    <w:pPr>
      <w:keepNext w:val="true"/>
      <w:keepLines w:val="true"/>
      <w:pBdr/>
      <w:spacing w:after="120" w:before="360"/>
      <w:ind/>
      <w:outlineLvl w:val="1"/>
    </w:pPr>
    <w:rPr>
      <w:sz w:val="32"/>
      <w:szCs w:val="32"/>
    </w:rPr>
  </w:style>
  <w:style w:type="paragraph" w:styleId="766">
    <w:name w:val="Heading 3"/>
    <w:basedOn w:val="763"/>
    <w:next w:val="763"/>
    <w:uiPriority w:val="9"/>
    <w:semiHidden/>
    <w:unhideWhenUsed/>
    <w:qFormat/>
    <w:pPr>
      <w:keepNext w:val="true"/>
      <w:keepLines w:val="true"/>
      <w:pBdr/>
      <w:spacing w:after="80" w:before="320"/>
      <w:ind/>
      <w:outlineLvl w:val="2"/>
    </w:pPr>
    <w:rPr>
      <w:color w:val="434343"/>
      <w:sz w:val="28"/>
      <w:szCs w:val="28"/>
    </w:rPr>
  </w:style>
  <w:style w:type="paragraph" w:styleId="767">
    <w:name w:val="Heading 4"/>
    <w:basedOn w:val="763"/>
    <w:next w:val="763"/>
    <w:uiPriority w:val="9"/>
    <w:semiHidden/>
    <w:unhideWhenUsed/>
    <w:qFormat/>
    <w:pPr>
      <w:keepNext w:val="true"/>
      <w:keepLines w:val="true"/>
      <w:pBdr/>
      <w:spacing w:after="80" w:before="280"/>
      <w:ind/>
      <w:outlineLvl w:val="3"/>
    </w:pPr>
    <w:rPr>
      <w:color w:val="666666"/>
      <w:sz w:val="24"/>
      <w:szCs w:val="24"/>
    </w:rPr>
  </w:style>
  <w:style w:type="paragraph" w:styleId="768">
    <w:name w:val="Heading 5"/>
    <w:basedOn w:val="763"/>
    <w:next w:val="763"/>
    <w:uiPriority w:val="9"/>
    <w:semiHidden/>
    <w:unhideWhenUsed/>
    <w:qFormat/>
    <w:pPr>
      <w:keepNext w:val="true"/>
      <w:keepLines w:val="true"/>
      <w:pBdr/>
      <w:spacing w:after="80" w:before="240"/>
      <w:ind/>
      <w:outlineLvl w:val="4"/>
    </w:pPr>
    <w:rPr>
      <w:color w:val="666666"/>
    </w:rPr>
  </w:style>
  <w:style w:type="paragraph" w:styleId="769">
    <w:name w:val="Heading 6"/>
    <w:basedOn w:val="763"/>
    <w:next w:val="763"/>
    <w:uiPriority w:val="9"/>
    <w:semiHidden/>
    <w:unhideWhenUsed/>
    <w:qFormat/>
    <w:pPr>
      <w:keepNext w:val="true"/>
      <w:keepLines w:val="true"/>
      <w:pBdr/>
      <w:spacing w:after="80" w:before="240"/>
      <w:ind/>
      <w:outlineLvl w:val="5"/>
    </w:pPr>
    <w:rPr>
      <w:i/>
      <w:color w:val="666666"/>
    </w:rPr>
  </w:style>
  <w:style w:type="character" w:styleId="770" w:default="1">
    <w:name w:val="Default Paragraph Font"/>
    <w:uiPriority w:val="1"/>
    <w:semiHidden/>
    <w:unhideWhenUsed/>
    <w:pPr>
      <w:pBdr/>
      <w:spacing/>
      <w:ind/>
    </w:pPr>
  </w:style>
  <w:style w:type="table" w:styleId="771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772" w:default="1">
    <w:name w:val="No List"/>
    <w:uiPriority w:val="99"/>
    <w:semiHidden/>
    <w:unhideWhenUsed/>
    <w:pPr>
      <w:pBdr/>
      <w:spacing/>
      <w:ind/>
    </w:pPr>
  </w:style>
  <w:style w:type="table" w:styleId="773" w:customStyle="1">
    <w:name w:val="Table Normal"/>
    <w:pPr>
      <w:pBdr/>
      <w:spacing/>
      <w:ind/>
    </w:p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74">
    <w:name w:val="Title"/>
    <w:basedOn w:val="763"/>
    <w:next w:val="763"/>
    <w:uiPriority w:val="10"/>
    <w:qFormat/>
    <w:pPr>
      <w:keepNext w:val="true"/>
      <w:keepLines w:val="true"/>
      <w:pBdr/>
      <w:spacing w:after="60"/>
      <w:ind/>
    </w:pPr>
    <w:rPr>
      <w:sz w:val="52"/>
      <w:szCs w:val="52"/>
    </w:rPr>
  </w:style>
  <w:style w:type="table" w:styleId="775" w:customStyle="1">
    <w:name w:val="Table Normal"/>
    <w:pPr>
      <w:pBdr/>
      <w:spacing/>
      <w:ind/>
    </w:pPr>
    <w:tblPr>
      <w:tblBorders/>
      <w:tblCellMar>
        <w:left w:w="0" w:type="dxa"/>
        <w:top w:w="0" w:type="dxa"/>
        <w:right w:w="0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776">
    <w:name w:val="Subtitle"/>
    <w:basedOn w:val="763"/>
    <w:next w:val="763"/>
    <w:uiPriority w:val="11"/>
    <w:qFormat/>
    <w:pPr>
      <w:keepNext w:val="true"/>
      <w:keepLines w:val="true"/>
      <w:pBdr/>
      <w:spacing w:after="320"/>
      <w:ind/>
    </w:pPr>
    <w:rPr>
      <w:color w:val="666666"/>
      <w:sz w:val="30"/>
      <w:szCs w:val="30"/>
    </w:rPr>
  </w:style>
  <w:style w:type="table" w:styleId="777" w:customStyle="1">
    <w:name w:val="StGen0"/>
    <w:basedOn w:val="775"/>
    <w:pPr>
      <w:pBdr/>
      <w:spacing/>
      <w:ind/>
    </w:pPr>
    <w:tblPr>
      <w:tblStyleRowBandSize w:val="1"/>
      <w:tblStyleColBandSize w:val="1"/>
      <w:tblBorders/>
      <w:tblCellMar>
        <w:left w:w="100" w:type="dxa"/>
        <w:top w:w="100" w:type="dxa"/>
        <w:right w:w="100" w:type="dxa"/>
        <w:bottom w:w="10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 w:customStyle="1">
    <w:name w:val="StGen1"/>
    <w:basedOn w:val="775"/>
    <w:pPr>
      <w:pBdr/>
      <w:spacing/>
      <w:ind/>
    </w:pPr>
    <w:tblPr>
      <w:tblStyleRowBandSize w:val="1"/>
      <w:tblStyleColBandSize w:val="1"/>
      <w:tblBorders/>
      <w:tblCellMar>
        <w:left w:w="100" w:type="dxa"/>
        <w:top w:w="100" w:type="dxa"/>
        <w:right w:w="100" w:type="dxa"/>
        <w:bottom w:w="10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 w:customStyle="1">
    <w:name w:val="StGen2"/>
    <w:basedOn w:val="775"/>
    <w:pPr>
      <w:pBdr/>
      <w:spacing/>
      <w:ind/>
    </w:pPr>
    <w:tblPr>
      <w:tblStyleRowBandSize w:val="1"/>
      <w:tblStyleColBandSize w:val="1"/>
      <w:tblBorders/>
      <w:tblCellMar>
        <w:left w:w="100" w:type="dxa"/>
        <w:top w:w="100" w:type="dxa"/>
        <w:right w:w="100" w:type="dxa"/>
        <w:bottom w:w="10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 w:customStyle="1">
    <w:name w:val="StGen3"/>
    <w:basedOn w:val="775"/>
    <w:pPr>
      <w:pBdr/>
      <w:spacing/>
      <w:ind/>
    </w:pPr>
    <w:tblPr>
      <w:tblStyleRowBandSize w:val="1"/>
      <w:tblStyleColBandSize w:val="1"/>
      <w:tblBorders/>
      <w:tblCellMar>
        <w:left w:w="100" w:type="dxa"/>
        <w:top w:w="100" w:type="dxa"/>
        <w:right w:w="100" w:type="dxa"/>
        <w:bottom w:w="10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 w:customStyle="1">
    <w:name w:val="StGen4"/>
    <w:basedOn w:val="775"/>
    <w:pPr>
      <w:pBdr/>
      <w:spacing/>
      <w:ind/>
    </w:pPr>
    <w:tblPr>
      <w:tblStyleRowBandSize w:val="1"/>
      <w:tblStyleColBandSize w:val="1"/>
      <w:tblBorders/>
      <w:tblCellMar>
        <w:left w:w="100" w:type="dxa"/>
        <w:top w:w="100" w:type="dxa"/>
        <w:right w:w="100" w:type="dxa"/>
        <w:bottom w:w="10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 w:customStyle="1">
    <w:name w:val="StGen5"/>
    <w:basedOn w:val="775"/>
    <w:pPr>
      <w:pBdr/>
      <w:spacing/>
      <w:ind/>
    </w:pPr>
    <w:tblPr>
      <w:tblStyleRowBandSize w:val="1"/>
      <w:tblStyleColBandSize w:val="1"/>
      <w:tblBorders/>
      <w:tblCellMar>
        <w:left w:w="100" w:type="dxa"/>
        <w:top w:w="100" w:type="dxa"/>
        <w:right w:w="100" w:type="dxa"/>
        <w:bottom w:w="10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hyperlink" Target="https://drive.google.com/file/d/14AFu88BNDKPa2tPXp2nWpvW-uS6-6e0z/view" TargetMode="External"/><Relationship Id="rId17" Type="http://schemas.openxmlformats.org/officeDocument/2006/relationships/hyperlink" Target="http://mena-gymnasium.cn.sch.in.ua/strategiya_rozvitku_zakladu/" TargetMode="External"/><Relationship Id="rId18" Type="http://schemas.openxmlformats.org/officeDocument/2006/relationships/hyperlink" Target="http://mena-gymnasium.cn.sch.in.ua/strategiya_rozvitku_zakladu/" TargetMode="External"/><Relationship Id="rId19" Type="http://schemas.openxmlformats.org/officeDocument/2006/relationships/image" Target="media/image4.jpg"/><Relationship Id="rId20" Type="http://schemas.openxmlformats.org/officeDocument/2006/relationships/image" Target="media/image5.jpg"/><Relationship Id="rId21" Type="http://schemas.openxmlformats.org/officeDocument/2006/relationships/image" Target="media/image6.png"/><Relationship Id="rId22" Type="http://schemas.openxmlformats.org/officeDocument/2006/relationships/image" Target="media/image7.png"/><Relationship Id="rId23" Type="http://schemas.openxmlformats.org/officeDocument/2006/relationships/image" Target="media/image8.jpg"/><Relationship Id="rId24" Type="http://schemas.openxmlformats.org/officeDocument/2006/relationships/image" Target="media/image9.jpg"/><Relationship Id="rId25" Type="http://schemas.openxmlformats.org/officeDocument/2006/relationships/image" Target="media/image10.jpg"/><Relationship Id="rId26" Type="http://schemas.openxmlformats.org/officeDocument/2006/relationships/image" Target="media/image11.jpg"/><Relationship Id="rId27" Type="http://schemas.openxmlformats.org/officeDocument/2006/relationships/image" Target="media/image12.jpg"/><Relationship Id="rId28" Type="http://schemas.openxmlformats.org/officeDocument/2006/relationships/image" Target="media/image13.jpg"/><Relationship Id="rId29" Type="http://schemas.openxmlformats.org/officeDocument/2006/relationships/hyperlink" Target="http://mena-gymnasium.cn.sch.in.ua/" TargetMode="External"/><Relationship Id="rId30" Type="http://schemas.openxmlformats.org/officeDocument/2006/relationships/hyperlink" Target="http://mena-gymnasium.cn.sch.in.ua/strategiya_rozvitku_zakladu/" TargetMode="External"/><Relationship Id="rId31" Type="http://schemas.openxmlformats.org/officeDocument/2006/relationships/hyperlink" Target="https://www.facebook.com/groups/723932235101385/" TargetMode="External"/><Relationship Id="rId32" Type="http://schemas.openxmlformats.org/officeDocument/2006/relationships/hyperlink" Target="mailto:gymn_mena@hotmail.com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WcL6qUXt5THLW8S9Lb6m+e2SjQ==">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Снежана</dc:creator>
  <cp:lastModifiedBy>СТАЛЬНИЧЕНКО Юрій Валерійович</cp:lastModifiedBy>
  <cp:revision>4</cp:revision>
  <dcterms:created xsi:type="dcterms:W3CDTF">2024-10-03T05:30:00Z</dcterms:created>
  <dcterms:modified xsi:type="dcterms:W3CDTF">2024-10-03T06:22:34Z</dcterms:modified>
</cp:coreProperties>
</file>