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80"/>
        <w:pBdr/>
        <w:spacing w:after="11" w:afterAutospacing="0" w:before="11" w:beforeAutospacing="0"/>
        <w:ind/>
        <w:jc w:val="center"/>
        <w:rPr>
          <w:b/>
          <w:bCs/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b/>
          <w:bCs/>
          <w:color w:val="000000"/>
          <w:sz w:val="28"/>
          <w:szCs w:val="28"/>
          <w:highlight w:val="none"/>
        </w:rPr>
      </w:r>
      <w:r>
        <w:rPr>
          <w:b/>
          <w:bCs/>
          <w:color w:val="000000"/>
          <w:sz w:val="28"/>
          <w:szCs w:val="28"/>
          <w:highlight w:val="none"/>
        </w:rPr>
      </w:r>
    </w:p>
    <w:p>
      <w:pPr>
        <w:pStyle w:val="880"/>
        <w:pBdr/>
        <w:spacing w:after="11" w:afterAutospacing="0" w:before="11" w:beforeAutospacing="0"/>
        <w:ind/>
        <w:jc w:val="center"/>
        <w:rPr>
          <w:sz w:val="16"/>
          <w:szCs w:val="16"/>
        </w:rPr>
      </w:pPr>
      <w:r>
        <w:rPr>
          <w:b/>
          <w:bCs/>
          <w:color w:val="000000"/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80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п’ятдесят друга</w:t>
      </w:r>
      <w:r>
        <w:rPr>
          <w:b/>
          <w:bCs/>
          <w:color w:val="000000"/>
          <w:sz w:val="28"/>
          <w:szCs w:val="28"/>
        </w:rPr>
        <w:t xml:space="preserve"> сесія восьмого скликання)</w:t>
      </w:r>
      <w:r>
        <w:t xml:space="preserve"> </w:t>
      </w:r>
      <w:r/>
    </w:p>
    <w:p>
      <w:pPr>
        <w:pStyle w:val="880"/>
        <w:widowControl w:val="false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880"/>
        <w:pBdr/>
        <w:tabs>
          <w:tab w:val="left" w:leader="none" w:pos="709"/>
          <w:tab w:val="left" w:leader="none" w:pos="7089"/>
        </w:tabs>
        <w:spacing w:after="11" w:afterAutospacing="0" w:before="11" w:beforeAutospacing="0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 </w:t>
      </w:r>
      <w:r>
        <w:rPr>
          <w:sz w:val="16"/>
          <w:szCs w:val="16"/>
        </w:rPr>
      </w:r>
    </w:p>
    <w:p>
      <w:pPr>
        <w:pStyle w:val="870"/>
        <w:pBdr/>
        <w:tabs>
          <w:tab w:val="left" w:leader="none" w:pos="4535"/>
          <w:tab w:val="left" w:leader="none" w:pos="7370"/>
        </w:tabs>
        <w:spacing/>
        <w:ind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  <w:lang w:val="ru-RU"/>
        </w:rPr>
        <w:t xml:space="preserve">7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вересня</w:t>
      </w:r>
      <w:r>
        <w:rPr>
          <w:color w:val="000000"/>
          <w:sz w:val="28"/>
          <w:szCs w:val="28"/>
        </w:rPr>
        <w:t xml:space="preserve"> 2024</w:t>
      </w:r>
      <w:r>
        <w:rPr>
          <w:color w:val="000000"/>
          <w:sz w:val="28"/>
          <w:szCs w:val="28"/>
        </w:rPr>
        <w:t xml:space="preserve"> року</w:t>
        <w:tab/>
      </w:r>
      <w:r>
        <w:rPr>
          <w:color w:val="000000"/>
          <w:sz w:val="28"/>
          <w:szCs w:val="28"/>
        </w:rPr>
        <w:t xml:space="preserve">м. Мена</w:t>
        <w:tab/>
      </w:r>
      <w:r>
        <w:rPr>
          <w:color w:val="000000"/>
          <w:sz w:val="28"/>
          <w:szCs w:val="28"/>
        </w:rPr>
        <w:t xml:space="preserve">№</w:t>
      </w:r>
      <w:r>
        <w:t xml:space="preserve"> </w:t>
      </w:r>
      <w:r>
        <w:rPr>
          <w:sz w:val="28"/>
          <w:szCs w:val="28"/>
        </w:rPr>
        <w:t xml:space="preserve">530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pBdr/>
        <w:spacing/>
        <w:ind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  <w:r>
        <w:rPr>
          <w:sz w:val="16"/>
          <w:szCs w:val="16"/>
          <w:lang w:val="ru-RU"/>
        </w:rPr>
      </w:r>
      <w:r>
        <w:rPr>
          <w:sz w:val="16"/>
          <w:szCs w:val="16"/>
          <w:lang w:val="ru-RU"/>
        </w:rPr>
      </w:r>
    </w:p>
    <w:p>
      <w:pPr>
        <w:pStyle w:val="870"/>
        <w:pBdr/>
        <w:spacing/>
        <w:ind w:right="5528" w:firstLine="0"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продаж земельн</w:t>
      </w:r>
      <w:r>
        <w:rPr>
          <w:b/>
          <w:sz w:val="28"/>
          <w:szCs w:val="28"/>
        </w:rPr>
        <w:t xml:space="preserve">ої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ділянк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ru-RU"/>
        </w:rPr>
        <w:t xml:space="preserve">гр. </w:t>
      </w:r>
      <w:r>
        <w:rPr>
          <w:b/>
          <w:sz w:val="28"/>
          <w:szCs w:val="28"/>
          <w:lang w:val="ru-RU"/>
        </w:rPr>
        <w:t xml:space="preserve">Прилипко Наді</w:t>
      </w:r>
      <w:r>
        <w:rPr>
          <w:b/>
          <w:sz w:val="28"/>
          <w:szCs w:val="28"/>
          <w:lang w:val="ru-RU"/>
        </w:rPr>
        <w:t xml:space="preserve">ї Миколаївні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70"/>
        <w:pBdr/>
        <w:spacing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70"/>
        <w:suppressLineNumbers w:val="false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t xml:space="preserve">Розглянувши звернення </w:t>
      </w:r>
      <w:r>
        <w:rPr>
          <w:sz w:val="28"/>
          <w:szCs w:val="28"/>
          <w:lang w:val="ru-RU"/>
        </w:rPr>
        <w:t xml:space="preserve">гр. </w:t>
      </w:r>
      <w:r>
        <w:rPr>
          <w:sz w:val="28"/>
          <w:szCs w:val="28"/>
          <w:lang w:val="ru-RU"/>
        </w:rPr>
        <w:t xml:space="preserve">Прилипко Наді</w:t>
      </w:r>
      <w:r>
        <w:rPr>
          <w:sz w:val="28"/>
          <w:szCs w:val="28"/>
          <w:lang w:val="ru-RU"/>
        </w:rPr>
        <w:t xml:space="preserve">ї Миколаївни</w:t>
      </w:r>
      <w:r>
        <w:rPr>
          <w:sz w:val="28"/>
          <w:szCs w:val="28"/>
        </w:rPr>
        <w:t xml:space="preserve"> про продаж </w:t>
      </w:r>
      <w:r>
        <w:rPr>
          <w:sz w:val="28"/>
          <w:szCs w:val="28"/>
        </w:rPr>
        <w:t xml:space="preserve">земельної</w:t>
      </w:r>
      <w:r>
        <w:rPr>
          <w:sz w:val="28"/>
          <w:szCs w:val="28"/>
        </w:rPr>
        <w:t xml:space="preserve"> ділянк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площею </w:t>
      </w:r>
      <w:r>
        <w:rPr>
          <w:sz w:val="28"/>
          <w:szCs w:val="28"/>
        </w:rPr>
        <w:t xml:space="preserve">0,</w:t>
      </w:r>
      <w:r>
        <w:rPr>
          <w:sz w:val="28"/>
          <w:szCs w:val="28"/>
          <w:lang w:val="ru-RU"/>
        </w:rPr>
        <w:t xml:space="preserve">0</w:t>
      </w:r>
      <w:r>
        <w:rPr>
          <w:sz w:val="28"/>
          <w:szCs w:val="28"/>
          <w:lang w:val="ru-RU"/>
        </w:rPr>
        <w:t xml:space="preserve">8</w:t>
      </w:r>
      <w:r>
        <w:rPr>
          <w:sz w:val="28"/>
          <w:szCs w:val="28"/>
          <w:lang w:val="ru-RU"/>
        </w:rPr>
        <w:t xml:space="preserve">60</w:t>
      </w:r>
      <w:r>
        <w:rPr>
          <w:sz w:val="28"/>
          <w:szCs w:val="28"/>
        </w:rPr>
        <w:t xml:space="preserve"> га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кадастровий № 74230</w:t>
      </w:r>
      <w:r>
        <w:rPr>
          <w:sz w:val="28"/>
          <w:szCs w:val="28"/>
        </w:rPr>
        <w:t xml:space="preserve">101</w:t>
      </w:r>
      <w:r>
        <w:rPr>
          <w:sz w:val="28"/>
          <w:szCs w:val="28"/>
        </w:rPr>
        <w:t xml:space="preserve">00:01:00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127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в </w:t>
      </w:r>
      <w:r>
        <w:rPr>
          <w:sz w:val="28"/>
          <w:szCs w:val="28"/>
          <w:lang w:val="ru-RU"/>
        </w:rPr>
        <w:t xml:space="preserve">м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ена</w:t>
      </w:r>
      <w:r>
        <w:rPr>
          <w:sz w:val="28"/>
          <w:szCs w:val="28"/>
        </w:rPr>
        <w:t xml:space="preserve">, по вул. </w:t>
      </w:r>
      <w:r>
        <w:rPr>
          <w:sz w:val="28"/>
          <w:szCs w:val="28"/>
        </w:rPr>
        <w:t xml:space="preserve">Північна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27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документ, </w:t>
      </w:r>
      <w:r>
        <w:rPr>
          <w:sz w:val="28"/>
          <w:szCs w:val="28"/>
        </w:rPr>
        <w:t xml:space="preserve">що посвідчує право власності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Прилипко Н</w:t>
      </w:r>
      <w:r>
        <w:rPr>
          <w:sz w:val="28"/>
          <w:szCs w:val="28"/>
        </w:rPr>
        <w:t xml:space="preserve">.М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на об’єкт нерухомості, який</w:t>
      </w:r>
      <w:r>
        <w:rPr>
          <w:sz w:val="28"/>
          <w:szCs w:val="28"/>
        </w:rPr>
        <w:t xml:space="preserve"> зн</w:t>
      </w:r>
      <w:r>
        <w:rPr>
          <w:sz w:val="28"/>
          <w:szCs w:val="28"/>
        </w:rPr>
        <w:t xml:space="preserve">аходиться на земельній ділянці</w:t>
      </w:r>
      <w:r>
        <w:rPr>
          <w:sz w:val="28"/>
          <w:szCs w:val="28"/>
        </w:rPr>
        <w:t xml:space="preserve">, звіт  про експертну грошову оцінку вартості земельної ділянки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</w:rPr>
        <w:t xml:space="preserve">(код згідно з КВЦП</w:t>
      </w:r>
      <w:r>
        <w:rPr>
          <w:color w:val="000000"/>
          <w:sz w:val="28"/>
        </w:rPr>
        <w:t xml:space="preserve">З 12.08</w:t>
      </w:r>
      <w:r>
        <w:rPr>
          <w:color w:val="000000"/>
          <w:sz w:val="28"/>
        </w:rPr>
        <w:t xml:space="preserve">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ля </w:t>
      </w:r>
      <w:r>
        <w:rPr>
          <w:sz w:val="28"/>
          <w:szCs w:val="28"/>
        </w:rPr>
        <w:t xml:space="preserve">розміщення та експлуатації будівель і споруд додаткових транспортних послуг та допоміжних операцій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виготовлену ПП «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ксіома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керуючись Конституцією України, </w:t>
      </w:r>
      <w:r>
        <w:rPr>
          <w:sz w:val="28"/>
          <w:szCs w:val="28"/>
        </w:rPr>
        <w:t xml:space="preserve">ст.ст. 12, 127, 128</w:t>
      </w:r>
      <w:r>
        <w:rPr>
          <w:sz w:val="28"/>
          <w:szCs w:val="28"/>
        </w:rPr>
        <w:t xml:space="preserve"> Земельного кодексу України,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Законом України «Про місцеве самоврядування в Україні»</w:t>
      </w:r>
      <w:r>
        <w:rPr>
          <w:sz w:val="28"/>
          <w:szCs w:val="28"/>
        </w:rPr>
        <w:t xml:space="preserve">, ст.26, </w:t>
      </w:r>
      <w:r>
        <w:rPr>
          <w:sz w:val="28"/>
          <w:szCs w:val="28"/>
        </w:rPr>
        <w:t xml:space="preserve">Менська міська рада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ВИРІШИЛА: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pBdr/>
        <w:tabs>
          <w:tab w:val="left" w:leader="none" w:pos="850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</w:t>
      </w:r>
      <w:r>
        <w:rPr>
          <w:sz w:val="28"/>
          <w:szCs w:val="28"/>
        </w:rPr>
        <w:t xml:space="preserve">редати у власність (продати) </w:t>
      </w:r>
      <w:r>
        <w:rPr>
          <w:sz w:val="28"/>
          <w:szCs w:val="28"/>
          <w:lang w:val="ru-RU"/>
        </w:rPr>
        <w:t xml:space="preserve">гр. </w:t>
      </w:r>
      <w:r>
        <w:rPr>
          <w:sz w:val="28"/>
          <w:szCs w:val="28"/>
          <w:lang w:val="ru-RU"/>
        </w:rPr>
        <w:t xml:space="preserve">Прилипко Наді</w:t>
      </w:r>
      <w:r>
        <w:rPr>
          <w:sz w:val="28"/>
          <w:szCs w:val="28"/>
          <w:lang w:val="ru-RU"/>
        </w:rPr>
        <w:t xml:space="preserve">ї Миколаївні</w:t>
      </w:r>
      <w:r>
        <w:rPr>
          <w:sz w:val="28"/>
          <w:szCs w:val="28"/>
        </w:rPr>
        <w:t xml:space="preserve"> земельну</w:t>
      </w:r>
      <w:r>
        <w:rPr>
          <w:sz w:val="28"/>
          <w:szCs w:val="28"/>
        </w:rPr>
        <w:t xml:space="preserve"> ділянк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площею </w:t>
      </w:r>
      <w:r>
        <w:rPr>
          <w:sz w:val="28"/>
          <w:szCs w:val="28"/>
        </w:rPr>
        <w:t xml:space="preserve">0,</w:t>
      </w:r>
      <w:r>
        <w:rPr>
          <w:sz w:val="28"/>
          <w:szCs w:val="28"/>
          <w:lang w:val="ru-RU"/>
        </w:rPr>
        <w:t xml:space="preserve">0860</w:t>
      </w:r>
      <w:r>
        <w:rPr>
          <w:sz w:val="28"/>
          <w:szCs w:val="28"/>
        </w:rPr>
        <w:t xml:space="preserve"> га, </w:t>
      </w:r>
      <w:r>
        <w:rPr>
          <w:sz w:val="28"/>
          <w:szCs w:val="28"/>
        </w:rPr>
        <w:t xml:space="preserve">кадастровий № </w:t>
      </w:r>
      <w:r>
        <w:rPr>
          <w:sz w:val="28"/>
          <w:szCs w:val="28"/>
        </w:rPr>
        <w:t xml:space="preserve">74230</w:t>
      </w:r>
      <w:r>
        <w:rPr>
          <w:sz w:val="28"/>
          <w:szCs w:val="28"/>
        </w:rPr>
        <w:t xml:space="preserve">10100:01:003:1277</w:t>
      </w:r>
      <w:r>
        <w:rPr>
          <w:sz w:val="28"/>
          <w:szCs w:val="28"/>
        </w:rPr>
        <w:t xml:space="preserve"> в </w:t>
      </w:r>
      <w:r>
        <w:rPr>
          <w:sz w:val="28"/>
          <w:szCs w:val="28"/>
          <w:lang w:val="ru-RU"/>
        </w:rPr>
        <w:t xml:space="preserve">м</w:t>
      </w:r>
      <w:r>
        <w:rPr>
          <w:sz w:val="28"/>
          <w:szCs w:val="28"/>
        </w:rPr>
        <w:t xml:space="preserve">. Мена, по вул. Північна, 27а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</w:rPr>
        <w:t xml:space="preserve">(код згідно з КВЦПЗ </w:t>
      </w:r>
      <w:r>
        <w:rPr>
          <w:color w:val="000000"/>
          <w:sz w:val="28"/>
        </w:rPr>
        <w:t xml:space="preserve">12.08</w:t>
      </w:r>
      <w:r>
        <w:rPr>
          <w:color w:val="000000"/>
          <w:sz w:val="28"/>
        </w:rPr>
        <w:t xml:space="preserve">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ля </w:t>
      </w:r>
      <w:r>
        <w:rPr>
          <w:sz w:val="28"/>
          <w:szCs w:val="28"/>
        </w:rPr>
        <w:t xml:space="preserve">розміщення та експлуатації будівель і споруд додаткових транспортних послуг та допоміжних операцій.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850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</w:t>
      </w:r>
      <w:r>
        <w:rPr>
          <w:sz w:val="28"/>
          <w:szCs w:val="28"/>
        </w:rPr>
        <w:t xml:space="preserve">атвердити ціну продажу земельної</w:t>
      </w:r>
      <w:r>
        <w:rPr>
          <w:sz w:val="28"/>
          <w:szCs w:val="28"/>
        </w:rPr>
        <w:t xml:space="preserve"> ділянк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площею 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60</w:t>
      </w:r>
      <w:r>
        <w:rPr>
          <w:sz w:val="28"/>
          <w:szCs w:val="28"/>
        </w:rPr>
        <w:t xml:space="preserve"> кв.м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кадастровий № </w:t>
      </w:r>
      <w:r>
        <w:rPr>
          <w:sz w:val="28"/>
          <w:szCs w:val="28"/>
        </w:rPr>
        <w:t xml:space="preserve">74230</w:t>
      </w:r>
      <w:r>
        <w:rPr>
          <w:sz w:val="28"/>
          <w:szCs w:val="28"/>
        </w:rPr>
        <w:t xml:space="preserve">10100:01:003:1277</w:t>
      </w:r>
      <w:r>
        <w:rPr>
          <w:sz w:val="28"/>
          <w:szCs w:val="28"/>
        </w:rPr>
        <w:t xml:space="preserve">, яка складає </w:t>
      </w:r>
      <w:r>
        <w:rPr>
          <w:sz w:val="28"/>
          <w:szCs w:val="28"/>
        </w:rPr>
        <w:t xml:space="preserve">43469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сорок три</w:t>
      </w:r>
      <w:r>
        <w:rPr>
          <w:sz w:val="28"/>
          <w:szCs w:val="28"/>
        </w:rPr>
        <w:t xml:space="preserve"> тисяч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чотириста шістдесят дев’ять </w:t>
      </w:r>
      <w:r>
        <w:rPr>
          <w:sz w:val="28"/>
          <w:szCs w:val="28"/>
        </w:rPr>
        <w:t xml:space="preserve">грн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</w:t>
      </w:r>
      <w:r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.), без урахування П</w:t>
      </w:r>
      <w:r>
        <w:rPr>
          <w:sz w:val="28"/>
          <w:szCs w:val="28"/>
        </w:rPr>
        <w:t xml:space="preserve">ДВ. Кошти повинні бути перераховані на розрахунковий рахунок Менської міської ради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</w:rPr>
        <w:t xml:space="preserve">до моменту укладання договору купівлі-продажу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pBdr/>
        <w:tabs>
          <w:tab w:val="left" w:leader="none" w:pos="850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Доручити </w:t>
      </w:r>
      <w:r>
        <w:rPr>
          <w:sz w:val="28"/>
          <w:szCs w:val="28"/>
        </w:rPr>
        <w:t xml:space="preserve">секретарю ради</w:t>
      </w:r>
      <w:r>
        <w:rPr>
          <w:sz w:val="28"/>
          <w:szCs w:val="28"/>
        </w:rPr>
        <w:t xml:space="preserve"> Стальниченку Юрію Валерійовичу укласти від імені Менської міської ради догові</w:t>
      </w:r>
      <w:r>
        <w:rPr>
          <w:sz w:val="28"/>
          <w:szCs w:val="28"/>
        </w:rPr>
        <w:t xml:space="preserve">р купівлі-продажу земельної</w:t>
      </w:r>
      <w:r>
        <w:rPr>
          <w:sz w:val="28"/>
          <w:szCs w:val="28"/>
        </w:rPr>
        <w:t xml:space="preserve"> ділянк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, а також оформити інші необхідні для вчинення цієї угоди документи.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pBdr/>
        <w:tabs>
          <w:tab w:val="left" w:leader="none" w:pos="850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Гр. </w:t>
      </w:r>
      <w:r>
        <w:rPr>
          <w:sz w:val="28"/>
          <w:szCs w:val="28"/>
        </w:rPr>
        <w:t xml:space="preserve">Прилипко Н</w:t>
      </w:r>
      <w:r>
        <w:rPr>
          <w:sz w:val="28"/>
          <w:szCs w:val="28"/>
        </w:rPr>
        <w:t xml:space="preserve">.М</w:t>
      </w:r>
      <w:r>
        <w:rPr>
          <w:sz w:val="28"/>
          <w:szCs w:val="28"/>
          <w:lang w:val="ru-RU"/>
        </w:rPr>
        <w:t xml:space="preserve">.</w:t>
      </w:r>
      <w:r>
        <w:rPr>
          <w:sz w:val="28"/>
          <w:szCs w:val="28"/>
        </w:rPr>
        <w:t xml:space="preserve"> зобов’язати використовувати земельну ділянку відповідно до вимог чинного природоохоронного законодавства.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0"/>
        <w:pBdr/>
        <w:tabs>
          <w:tab w:val="left" w:leader="none" w:pos="850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color w:val="000000"/>
          <w:sz w:val="28"/>
        </w:rPr>
        <w:t xml:space="preserve">Р</w:t>
      </w:r>
      <w:r>
        <w:rPr>
          <w:color w:val="000000"/>
          <w:sz w:val="28"/>
          <w:szCs w:val="28"/>
        </w:rPr>
        <w:t xml:space="preserve">ішення набуває чинності з дня доведення його до відома </w:t>
      </w:r>
      <w:r>
        <w:rPr>
          <w:sz w:val="28"/>
          <w:szCs w:val="28"/>
          <w:lang w:eastAsia="hi-IN" w:bidi="hi-IN"/>
        </w:rPr>
        <w:t xml:space="preserve">гр. </w:t>
      </w:r>
      <w:r>
        <w:rPr>
          <w:sz w:val="28"/>
          <w:szCs w:val="28"/>
        </w:rPr>
        <w:t xml:space="preserve">Прилипко Н</w:t>
      </w:r>
      <w:r>
        <w:rPr>
          <w:sz w:val="28"/>
          <w:szCs w:val="28"/>
        </w:rPr>
        <w:t xml:space="preserve">.М</w:t>
      </w:r>
      <w:r>
        <w:rPr>
          <w:sz w:val="28"/>
          <w:szCs w:val="28"/>
          <w:lang w:eastAsia="hi-IN" w:bidi="hi-IN"/>
        </w:rPr>
        <w:t xml:space="preserve">.</w:t>
      </w:r>
      <w:r>
        <w:rPr>
          <w:color w:val="000000"/>
          <w:sz w:val="28"/>
          <w:szCs w:val="28"/>
        </w:rPr>
        <w:t xml:space="preserve"> в установленому законом порядку.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0"/>
        <w:pBdr/>
        <w:tabs>
          <w:tab w:val="left" w:leader="none" w:pos="850"/>
        </w:tabs>
        <w:spacing w:after="0" w:afterAutospacing="0" w:before="0" w:beforeAutospacing="0"/>
        <w:ind w:right="0" w:firstLine="567" w:left="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70"/>
        <w:pBdr/>
        <w:spacing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870"/>
        <w:pBdr/>
        <w:spacing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870"/>
        <w:pBdr/>
        <w:tabs>
          <w:tab w:val="left" w:leader="none" w:pos="6520"/>
        </w:tabs>
        <w:spacing/>
        <w:ind/>
        <w:rPr>
          <w:sz w:val="28"/>
          <w:szCs w:val="28"/>
        </w:rPr>
      </w:pPr>
      <w:r>
        <w:rPr>
          <w:sz w:val="28"/>
          <w:szCs w:val="28"/>
          <w:lang w:eastAsia="hi-IN" w:bidi="hi-IN"/>
        </w:rPr>
        <w:t xml:space="preserve">Секретар ради</w:t>
        <w:tab/>
      </w:r>
      <w:r>
        <w:rPr>
          <w:sz w:val="28"/>
          <w:szCs w:val="28"/>
          <w:lang w:eastAsia="hi-IN" w:bidi="hi-IN"/>
        </w:rPr>
        <w:t xml:space="preserve">Юрій СТАЛЬНИЧЕНКО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5"/>
      <w:pBdr/>
      <w:spacing/>
      <w:ind/>
      <w:jc w:val="center"/>
      <w:rPr/>
    </w:pPr>
    <w:r>
      <w:rPr>
        <w:b/>
        <w:sz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21208" cy="74066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64758588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521208" cy="7406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04pt;height:58.32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>
        <w:rFonts w:cs="Times New Roman"/>
      </w:rPr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Table Grid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Table Grid Light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Plain Table 1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Plain Table 2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Plain Table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Plain Table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Plain Table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1 Light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1 Light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1 Light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1 Light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2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2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2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2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3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3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3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3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 - Accent 1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4 - Accent 2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4 - Accent 3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4 - Accent 4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4 - Accent 5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 - Accent 6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5 Dark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5 Dark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5 Dark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6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6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6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7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7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7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1 Light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1 Light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1 Light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2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2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2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3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3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3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3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4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4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4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4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5 Dark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5 Dark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5 Dark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5 Dark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6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6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6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7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7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7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7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 1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ned - Accent 2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ned - Accent 3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ned - Accent 4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ned - Accent 5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ned - Accent 6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 1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&amp; Lined - Accent 2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&amp; Lined - Accent 3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&amp; Lined - Accent 4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&amp; Lined - Accent 5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&amp; Lined - Accent 6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8">
    <w:name w:val="Heading 1"/>
    <w:basedOn w:val="870"/>
    <w:next w:val="870"/>
    <w:link w:val="82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19">
    <w:name w:val="Heading 2"/>
    <w:basedOn w:val="870"/>
    <w:next w:val="870"/>
    <w:link w:val="83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0">
    <w:name w:val="Heading 3"/>
    <w:basedOn w:val="870"/>
    <w:next w:val="870"/>
    <w:link w:val="83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21">
    <w:name w:val="Heading 4"/>
    <w:basedOn w:val="870"/>
    <w:next w:val="870"/>
    <w:link w:val="83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22">
    <w:name w:val="Heading 5"/>
    <w:basedOn w:val="870"/>
    <w:next w:val="870"/>
    <w:link w:val="83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23">
    <w:name w:val="Heading 6"/>
    <w:basedOn w:val="870"/>
    <w:next w:val="870"/>
    <w:link w:val="83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4">
    <w:name w:val="Heading 7"/>
    <w:basedOn w:val="870"/>
    <w:next w:val="870"/>
    <w:link w:val="83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5">
    <w:name w:val="Heading 8"/>
    <w:basedOn w:val="870"/>
    <w:next w:val="870"/>
    <w:link w:val="83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6">
    <w:name w:val="Heading 9"/>
    <w:basedOn w:val="870"/>
    <w:next w:val="870"/>
    <w:link w:val="83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7" w:default="1">
    <w:name w:val="Default Paragraph Font"/>
    <w:uiPriority w:val="1"/>
    <w:semiHidden/>
    <w:unhideWhenUsed/>
    <w:pPr>
      <w:pBdr/>
      <w:spacing/>
      <w:ind/>
    </w:pPr>
  </w:style>
  <w:style w:type="numbering" w:styleId="828" w:default="1">
    <w:name w:val="No List"/>
    <w:uiPriority w:val="99"/>
    <w:semiHidden/>
    <w:unhideWhenUsed/>
    <w:pPr>
      <w:pBdr/>
      <w:spacing/>
      <w:ind/>
    </w:pPr>
  </w:style>
  <w:style w:type="character" w:styleId="829">
    <w:name w:val="Heading 1 Char"/>
    <w:basedOn w:val="827"/>
    <w:link w:val="81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0">
    <w:name w:val="Heading 2 Char"/>
    <w:basedOn w:val="827"/>
    <w:link w:val="8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1">
    <w:name w:val="Heading 3 Char"/>
    <w:basedOn w:val="827"/>
    <w:link w:val="82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32">
    <w:name w:val="Heading 4 Char"/>
    <w:basedOn w:val="827"/>
    <w:link w:val="82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33">
    <w:name w:val="Heading 5 Char"/>
    <w:basedOn w:val="827"/>
    <w:link w:val="82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34">
    <w:name w:val="Heading 6 Char"/>
    <w:basedOn w:val="827"/>
    <w:link w:val="82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35">
    <w:name w:val="Heading 7 Char"/>
    <w:basedOn w:val="827"/>
    <w:link w:val="82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36">
    <w:name w:val="Heading 8 Char"/>
    <w:basedOn w:val="827"/>
    <w:link w:val="82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37">
    <w:name w:val="Heading 9 Char"/>
    <w:basedOn w:val="827"/>
    <w:link w:val="8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38">
    <w:name w:val="Title"/>
    <w:basedOn w:val="870"/>
    <w:next w:val="870"/>
    <w:link w:val="83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39">
    <w:name w:val="Title Char"/>
    <w:basedOn w:val="827"/>
    <w:link w:val="83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0">
    <w:name w:val="Subtitle"/>
    <w:basedOn w:val="870"/>
    <w:next w:val="870"/>
    <w:link w:val="84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1">
    <w:name w:val="Subtitle Char"/>
    <w:basedOn w:val="827"/>
    <w:link w:val="84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42">
    <w:name w:val="Quote"/>
    <w:basedOn w:val="870"/>
    <w:next w:val="870"/>
    <w:link w:val="84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43">
    <w:name w:val="Quote Char"/>
    <w:basedOn w:val="827"/>
    <w:link w:val="84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44">
    <w:name w:val="List Paragraph"/>
    <w:basedOn w:val="870"/>
    <w:uiPriority w:val="34"/>
    <w:qFormat/>
    <w:pPr>
      <w:pBdr/>
      <w:spacing/>
      <w:ind w:left="720"/>
      <w:contextualSpacing w:val="true"/>
    </w:pPr>
  </w:style>
  <w:style w:type="character" w:styleId="845">
    <w:name w:val="Intense Emphasis"/>
    <w:basedOn w:val="82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46">
    <w:name w:val="Intense Quote"/>
    <w:basedOn w:val="870"/>
    <w:next w:val="870"/>
    <w:link w:val="84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47">
    <w:name w:val="Intense Quote Char"/>
    <w:basedOn w:val="827"/>
    <w:link w:val="84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48">
    <w:name w:val="Intense Reference"/>
    <w:basedOn w:val="82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49">
    <w:name w:val="No Spacing"/>
    <w:basedOn w:val="870"/>
    <w:uiPriority w:val="1"/>
    <w:qFormat/>
    <w:pPr>
      <w:pBdr/>
      <w:spacing w:after="0" w:line="240" w:lineRule="auto"/>
      <w:ind/>
    </w:pPr>
  </w:style>
  <w:style w:type="character" w:styleId="850">
    <w:name w:val="Subtle Emphasis"/>
    <w:basedOn w:val="82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1">
    <w:name w:val="Emphasis"/>
    <w:basedOn w:val="827"/>
    <w:uiPriority w:val="20"/>
    <w:qFormat/>
    <w:pPr>
      <w:pBdr/>
      <w:spacing/>
      <w:ind/>
    </w:pPr>
    <w:rPr>
      <w:i/>
      <w:iCs/>
    </w:rPr>
  </w:style>
  <w:style w:type="character" w:styleId="852">
    <w:name w:val="Strong"/>
    <w:basedOn w:val="827"/>
    <w:uiPriority w:val="22"/>
    <w:qFormat/>
    <w:pPr>
      <w:pBdr/>
      <w:spacing/>
      <w:ind/>
    </w:pPr>
    <w:rPr>
      <w:b/>
      <w:bCs/>
    </w:rPr>
  </w:style>
  <w:style w:type="character" w:styleId="853">
    <w:name w:val="Subtle Reference"/>
    <w:basedOn w:val="82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54">
    <w:name w:val="Book Title"/>
    <w:basedOn w:val="82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55">
    <w:name w:val="Header"/>
    <w:basedOn w:val="870"/>
    <w:link w:val="85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6">
    <w:name w:val="Header Char"/>
    <w:basedOn w:val="827"/>
    <w:link w:val="855"/>
    <w:uiPriority w:val="99"/>
    <w:pPr>
      <w:pBdr/>
      <w:spacing/>
      <w:ind/>
    </w:pPr>
  </w:style>
  <w:style w:type="paragraph" w:styleId="857">
    <w:name w:val="Footer"/>
    <w:basedOn w:val="870"/>
    <w:link w:val="8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8">
    <w:name w:val="Footer Char"/>
    <w:basedOn w:val="827"/>
    <w:link w:val="857"/>
    <w:uiPriority w:val="99"/>
    <w:pPr>
      <w:pBdr/>
      <w:spacing/>
      <w:ind/>
    </w:pPr>
  </w:style>
  <w:style w:type="paragraph" w:styleId="859">
    <w:name w:val="Caption"/>
    <w:basedOn w:val="870"/>
    <w:next w:val="87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0">
    <w:name w:val="footnote text"/>
    <w:basedOn w:val="870"/>
    <w:link w:val="86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1">
    <w:name w:val="Footnote Text Char"/>
    <w:basedOn w:val="827"/>
    <w:link w:val="860"/>
    <w:uiPriority w:val="99"/>
    <w:semiHidden/>
    <w:pPr>
      <w:pBdr/>
      <w:spacing/>
      <w:ind/>
    </w:pPr>
    <w:rPr>
      <w:sz w:val="20"/>
      <w:szCs w:val="20"/>
    </w:rPr>
  </w:style>
  <w:style w:type="character" w:styleId="862">
    <w:name w:val="footnote reference"/>
    <w:basedOn w:val="827"/>
    <w:uiPriority w:val="99"/>
    <w:semiHidden/>
    <w:unhideWhenUsed/>
    <w:pPr>
      <w:pBdr/>
      <w:spacing/>
      <w:ind/>
    </w:pPr>
    <w:rPr>
      <w:vertAlign w:val="superscript"/>
    </w:rPr>
  </w:style>
  <w:style w:type="paragraph" w:styleId="863">
    <w:name w:val="endnote text"/>
    <w:basedOn w:val="870"/>
    <w:link w:val="86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4">
    <w:name w:val="Endnote Text Char"/>
    <w:basedOn w:val="827"/>
    <w:link w:val="863"/>
    <w:uiPriority w:val="99"/>
    <w:semiHidden/>
    <w:pPr>
      <w:pBdr/>
      <w:spacing/>
      <w:ind/>
    </w:pPr>
    <w:rPr>
      <w:sz w:val="20"/>
      <w:szCs w:val="20"/>
    </w:rPr>
  </w:style>
  <w:style w:type="character" w:styleId="865">
    <w:name w:val="endnote reference"/>
    <w:basedOn w:val="827"/>
    <w:uiPriority w:val="99"/>
    <w:semiHidden/>
    <w:unhideWhenUsed/>
    <w:pPr>
      <w:pBdr/>
      <w:spacing/>
      <w:ind/>
    </w:pPr>
    <w:rPr>
      <w:vertAlign w:val="superscript"/>
    </w:rPr>
  </w:style>
  <w:style w:type="character" w:styleId="866">
    <w:name w:val="Hyperlink"/>
    <w:basedOn w:val="82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67">
    <w:name w:val="FollowedHyperlink"/>
    <w:basedOn w:val="82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68">
    <w:name w:val="TOC Heading"/>
    <w:uiPriority w:val="39"/>
    <w:unhideWhenUsed/>
    <w:pPr>
      <w:pBdr/>
      <w:spacing/>
      <w:ind/>
    </w:pPr>
  </w:style>
  <w:style w:type="paragraph" w:styleId="869">
    <w:name w:val="table of figures"/>
    <w:basedOn w:val="870"/>
    <w:next w:val="870"/>
    <w:uiPriority w:val="99"/>
    <w:unhideWhenUsed/>
    <w:pPr>
      <w:pBdr/>
      <w:spacing w:after="0" w:afterAutospacing="0"/>
      <w:ind/>
    </w:pPr>
  </w:style>
  <w:style w:type="paragraph" w:styleId="870" w:default="1">
    <w:name w:val="Normal"/>
    <w:next w:val="870"/>
    <w:link w:val="870"/>
    <w:pPr>
      <w:pBdr/>
      <w:spacing/>
      <w:ind/>
    </w:pPr>
    <w:rPr>
      <w:rFonts w:ascii="Times New Roman" w:hAnsi="Times New Roman" w:eastAsia="Times New Roman"/>
      <w:lang w:val="uk-UA" w:eastAsia="ru-RU" w:bidi="ar-SA"/>
    </w:rPr>
  </w:style>
  <w:style w:type="paragraph" w:styleId="871">
    <w:name w:val="Заголовок 1"/>
    <w:basedOn w:val="870"/>
    <w:next w:val="870"/>
    <w:link w:val="875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72">
    <w:name w:val="Основной шрифт абзаца"/>
    <w:next w:val="872"/>
    <w:link w:val="870"/>
    <w:semiHidden/>
    <w:pPr>
      <w:pBdr/>
      <w:spacing/>
      <w:ind/>
    </w:pPr>
  </w:style>
  <w:style w:type="table" w:styleId="873">
    <w:name w:val="Обычная таблица"/>
    <w:next w:val="873"/>
    <w:link w:val="87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4">
    <w:name w:val="Нет списка"/>
    <w:next w:val="874"/>
    <w:link w:val="870"/>
    <w:semiHidden/>
    <w:pPr>
      <w:pBdr/>
      <w:spacing/>
      <w:ind/>
    </w:pPr>
  </w:style>
  <w:style w:type="character" w:styleId="875">
    <w:name w:val="Знак Знак"/>
    <w:basedOn w:val="872"/>
    <w:next w:val="875"/>
    <w:link w:val="871"/>
    <w:pPr>
      <w:pBdr/>
      <w:spacing/>
      <w:ind/>
    </w:pPr>
    <w:rPr>
      <w:rFonts w:ascii="Times New Roman" w:hAnsi="Times New Roman" w:eastAsia="Times New Roman" w:cs="Times New Roman"/>
      <w:b/>
      <w:sz w:val="20"/>
      <w:szCs w:val="20"/>
      <w:lang w:val="uk-UA" w:eastAsia="ru-RU"/>
    </w:rPr>
  </w:style>
  <w:style w:type="paragraph" w:styleId="876">
    <w:name w:val="Титулка"/>
    <w:basedOn w:val="870"/>
    <w:next w:val="876"/>
    <w:link w:val="870"/>
    <w:pPr>
      <w:widowControl w:val="false"/>
      <w:pBdr/>
      <w:spacing w:after="120"/>
      <w:ind/>
      <w:jc w:val="center"/>
    </w:pPr>
    <w:rPr>
      <w:rFonts w:eastAsia="Calibri" w:cs="Mangal"/>
      <w:b/>
      <w:sz w:val="24"/>
      <w:szCs w:val="24"/>
      <w:lang w:eastAsia="hi-IN" w:bidi="hi-IN"/>
    </w:rPr>
  </w:style>
  <w:style w:type="character" w:styleId="877">
    <w:name w:val="Знак Знак1"/>
    <w:next w:val="877"/>
    <w:link w:val="870"/>
    <w:pPr>
      <w:pBdr/>
      <w:spacing/>
      <w:ind/>
    </w:pPr>
    <w:rPr>
      <w:b/>
      <w:sz w:val="32"/>
      <w:lang w:val="uk-UA" w:eastAsia="en-US"/>
    </w:rPr>
  </w:style>
  <w:style w:type="character" w:styleId="878">
    <w:name w:val="Знак Знак2"/>
    <w:next w:val="878"/>
    <w:link w:val="870"/>
    <w:pPr>
      <w:pBdr/>
      <w:spacing/>
      <w:ind/>
    </w:pPr>
    <w:rPr>
      <w:rFonts w:ascii="Times New Roman" w:hAnsi="Times New Roman"/>
      <w:b/>
      <w:sz w:val="32"/>
      <w:lang w:val="en-US" w:eastAsia="ru-RU"/>
    </w:rPr>
  </w:style>
  <w:style w:type="character" w:styleId="879">
    <w:name w:val="docdata,docy,v5,1846,bqiaagaaeyqcaaagiaiaaammbqaabtqfaaaaaaaaaaaaaaaaaaaaaaaaaaaaaaaaaaaaaaaaaaaaaaaaaaaaaaaaaaaaaaaaaaaaaaaaaaaaaaaaaaaaaaaaaaaaaaaaaaaaaaaaaaaaaaaaaaaaaaaaaaaaaaaaaaaaaaaaaaaaaaaaaaaaaaaaaaaaaaaaaaaaaaaaaaaaaaaaaaaaaaaaaaaaaaaaaaaaaaa"/>
    <w:basedOn w:val="872"/>
    <w:next w:val="879"/>
    <w:link w:val="870"/>
    <w:pPr>
      <w:pBdr/>
      <w:spacing/>
      <w:ind/>
    </w:pPr>
    <w:rPr>
      <w:rFonts w:cs="Times New Roman"/>
    </w:rPr>
  </w:style>
  <w:style w:type="paragraph" w:styleId="880">
    <w:name w:val="Обычный (веб)"/>
    <w:basedOn w:val="870"/>
    <w:next w:val="880"/>
    <w:link w:val="870"/>
    <w:pPr>
      <w:pBdr/>
      <w:spacing w:after="100" w:afterAutospacing="1" w:before="100" w:beforeAutospacing="1"/>
      <w:ind/>
    </w:pPr>
    <w:rPr>
      <w:rFonts w:eastAsia="Calibri"/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Admin</dc:creator>
  <cp:lastModifiedBy>СТАЛЬНИЧЕНКО Юрій Валерійович</cp:lastModifiedBy>
  <cp:revision>20</cp:revision>
  <dcterms:created xsi:type="dcterms:W3CDTF">2022-10-19T05:30:00Z</dcterms:created>
  <dcterms:modified xsi:type="dcterms:W3CDTF">2024-10-02T16:52:11Z</dcterms:modified>
  <cp:version>730895</cp:version>
</cp:coreProperties>
</file>