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color w:val="000000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Додаток </w:t>
      </w: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color w:val="000000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до рішення </w:t>
      </w:r>
      <w:r>
        <w:rPr>
          <w:rFonts w:ascii="Times New Roman" w:hAnsi="Times New Roman" w:eastAsia="Times New Roman"/>
          <w:color w:val="000000"/>
          <w:sz w:val="28"/>
          <w:lang w:val="ru-RU"/>
        </w:rPr>
        <w:t xml:space="preserve">52</w:t>
      </w:r>
      <w:r>
        <w:rPr>
          <w:rFonts w:ascii="Times New Roman" w:hAnsi="Times New Roman" w:eastAsia="Times New Roman"/>
          <w:color w:val="000000"/>
          <w:sz w:val="28"/>
        </w:rPr>
        <w:t xml:space="preserve"> сесії Менської міської ради 8 скликання</w:t>
      </w: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color w:val="000000"/>
          <w:sz w:val="28"/>
          <w:lang w:val="ru-RU"/>
        </w:rPr>
      </w:pPr>
      <w:r>
        <w:rPr>
          <w:rFonts w:ascii="Times New Roman" w:hAnsi="Times New Roman" w:eastAsia="Times New Roman"/>
          <w:color w:val="000000"/>
          <w:sz w:val="28"/>
          <w:lang w:val="ru-RU"/>
        </w:rPr>
        <w:t xml:space="preserve">27</w:t>
      </w:r>
      <w:r>
        <w:rPr>
          <w:rFonts w:ascii="Times New Roman" w:hAnsi="Times New Roman" w:eastAsia="Times New Roman"/>
          <w:color w:val="000000"/>
          <w:sz w:val="28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lang w:val="ru-RU"/>
        </w:rPr>
        <w:t xml:space="preserve">вересня</w:t>
      </w:r>
      <w:r>
        <w:rPr>
          <w:rFonts w:ascii="Times New Roman" w:hAnsi="Times New Roman" w:eastAsia="Times New Roman"/>
          <w:color w:val="000000"/>
          <w:sz w:val="28"/>
        </w:rPr>
        <w:t xml:space="preserve"> 2024 року №486</w:t>
      </w:r>
      <w:r>
        <w:rPr>
          <w:rFonts w:ascii="Times New Roman" w:hAnsi="Times New Roman" w:eastAsia="Times New Roman"/>
          <w:color w:val="000000"/>
          <w:sz w:val="28"/>
          <w:lang w:val="ru-RU"/>
        </w:rPr>
      </w:r>
      <w:r>
        <w:rPr>
          <w:rFonts w:ascii="Times New Roman" w:hAnsi="Times New Roman" w:eastAsia="Times New Roman"/>
          <w:color w:val="000000"/>
          <w:sz w:val="28"/>
          <w:lang w:val="ru-RU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669"/>
        <w:jc w:val="both"/>
        <w:rPr>
          <w:rFonts w:ascii="Times New Roman" w:hAnsi="Times New Roman" w:eastAsia="Times New Roman"/>
          <w:color w:val="000000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hanging="141" w:left="5669"/>
        <w:jc w:val="both"/>
        <w:rPr>
          <w:rFonts w:ascii="Times New Roman" w:hAnsi="Times New Roman" w:eastAsia="Times New Roman"/>
          <w:color w:val="000000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Додаток  </w:t>
      </w:r>
      <w:r>
        <w:rPr>
          <w:rFonts w:ascii="Times New Roman" w:hAnsi="Times New Roman" w:eastAsia="Times New Roman"/>
          <w:color w:val="000000"/>
          <w:sz w:val="28"/>
        </w:rPr>
      </w:r>
      <w:r>
        <w:rPr>
          <w:rFonts w:ascii="Times New Roman" w:hAnsi="Times New Roman" w:eastAsia="Times New Roman"/>
          <w:color w:val="000000"/>
          <w:sz w:val="28"/>
        </w:rPr>
      </w:r>
    </w:p>
    <w:p>
      <w:pPr>
        <w:pStyle w:val="68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до Програми «Питна вода Менської міської територіальної громади на 2022-2024 роки»</w:t>
      </w:r>
      <w:r>
        <w:rPr>
          <w:rFonts w:ascii="Times New Roman" w:hAnsi="Times New Roman" w:eastAsia="Times New Roman"/>
          <w:sz w:val="28"/>
        </w:rPr>
        <w:t xml:space="preserve"> (нова редакція)</w:t>
      </w: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Style w:val="682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  <w:sz w:val="28"/>
        </w:rPr>
      </w:pPr>
      <w:r>
        <w:rPr>
          <w:rFonts w:ascii="Times New Roman" w:hAnsi="Times New Roman" w:eastAsia="Times New Roman"/>
          <w:sz w:val="28"/>
        </w:rPr>
      </w:r>
      <w:r>
        <w:rPr>
          <w:rFonts w:ascii="Times New Roman" w:hAnsi="Times New Roman" w:eastAsia="Times New Roman"/>
          <w:sz w:val="28"/>
        </w:rPr>
      </w:r>
    </w:p>
    <w:p>
      <w:pPr>
        <w:pStyle w:val="682"/>
        <w:pBdr>
          <w:right w:val="none" w:color="000000" w:sz="4" w:space="9"/>
        </w:pBdr>
        <w:spacing/>
        <w:ind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  <w:b/>
          <w:sz w:val="28"/>
          <w:szCs w:val="28"/>
        </w:rPr>
        <w:t xml:space="preserve">Основні заходи реалізації  Програми 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8"/>
          <w:szCs w:val="28"/>
        </w:rPr>
        <w:t xml:space="preserve">Питна вода Менської міської територіальної громадина 2022-2024 роки»</w:t>
      </w: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p>
      <w:pPr>
        <w:pStyle w:val="682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</w:r>
      <w:r>
        <w:rPr>
          <w:rFonts w:ascii="Times New Roman" w:hAnsi="Times New Roman" w:eastAsia="Times New Roman"/>
        </w:rPr>
      </w:r>
    </w:p>
    <w:tbl>
      <w:tblPr>
        <w:tblW w:w="0" w:type="auto"/>
        <w:tblInd w:w="10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8"/>
        <w:gridCol w:w="2683"/>
        <w:gridCol w:w="1097"/>
        <w:gridCol w:w="2400"/>
        <w:gridCol w:w="1495"/>
        <w:gridCol w:w="1363"/>
      </w:tblGrid>
      <w:tr>
        <w:trPr>
          <w:trHeight w:val="711"/>
          <w:tblHeader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sz w:val="18"/>
              </w:rPr>
              <w:t xml:space="preserve">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Зміст заходу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Термін виконання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Відповідальні виконавці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Обсяг фінансування, тис. грн.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18"/>
              </w:rPr>
              <w:t xml:space="preserve">Джерела фінансування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Перевірка технічного стану діючих об'єктів водопровідно-каналізаційного господарства;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технічного та енергетичного аудиту систем водопостачання та водовідведення;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незалежної оцінки вартості майна мереж водопостачання та водовідведення.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310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р.-0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р.- 150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- 160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Купівля та заміна глибинних насосів на артезіанських свердловинах та КНС (за потребою), встановлення засобів комерційного обліку (8 шт);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аварійно-відновлювальних робіт;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гідродинамічна прочистка каналізації;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lang w:val="ru-RU"/>
              </w:rPr>
              <w:t xml:space="preserve">купівля та </w:t>
            </w: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заміна електродвигуна на КНС та очисних спорудах;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1600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– 300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 – 750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– 550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3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Встановлення огорож території артезіанських свердловин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161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р.-80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р.-81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1280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4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Оформлення земельних ділянок під свердловинами та водонапірними баштами на території Менської територіальної громади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148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-30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р.-58 2024 р.-60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1470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Відбір аналізів та дослідження якості питної води, проведення заходів з паспортизації громадських колодязів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192,392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-20</w:t>
            </w:r>
            <w:r/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р.-135,85 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р.-36,542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cantSplit/>
          <w:trHeight w:val="375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6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Виготовлення ПКД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рік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100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27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806"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7.1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7.2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907"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7.3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21" w:beforeAutospacing="0"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</w:rPr>
              <w:t xml:space="preserve">7.4</w:t>
            </w:r>
            <w:r>
              <w:rPr>
                <w:rFonts w:ascii="Times New Roman" w:hAnsi="Times New Roman" w:eastAsia="Times New Roman"/>
              </w:rPr>
            </w:r>
            <w:r/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Реконструкція комплексу очисних споруд м.Мена, який розташований за межами міста Мена, Менської міської територіальної громади, Корюківського району, Чернігівської області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Оплата технічних умов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Виготовлення проєктно-кошторисної документації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Проведення експертизи проєктно-кошторисної документації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Вартість будівельних робіт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20100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27"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30,0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147"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17000,0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р.-3000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1305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8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Проведення ліквідаційного санітарно-технічного тампонажу недіючих та безхазяйних  свердловини (20 шт.)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2022-2024 роки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 3000,0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2022 р. -3000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р.-200 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Обласний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rPr>
          <w:trHeight w:val="2832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32"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9.1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9.2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9.3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Реконструкція вуличних водопровідних мереж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Виконання топографічної зйомки  М 1:500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Вартість будівельних робіт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рік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7330,5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9"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50,5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280,0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7000,0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503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Технічна інвентаризація з виготовлення технічних паспортів на об’єкти водопостачання та водовідведення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2023-2024 роки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sz w:val="22"/>
              </w:rPr>
              <w:t xml:space="preserve">100,0 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р.- 50,0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 -50,0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cantSplit/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11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Витрати на оплату сертифіката готовності об’єкта до експлуатації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2023-2024 роки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27,0 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з них: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2023 р. - 13,0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– 14,0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vMerge w:val="restart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32"/>
              <w:ind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32"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12.1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12.2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12.3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Реконструкція вуличних каналізаційних мереж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Виконання топографічної зйомки  М 1:500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Вартість будівельних робіт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рік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350,0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 з них: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р.-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249"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50,0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70,0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230,0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8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13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8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Виконання виконавчої контрольної-геодезичної зйомки </w:t>
            </w:r>
            <w:r>
              <w:rPr>
                <w:rFonts w:ascii="Times New Roman" w:hAnsi="Times New Roman"/>
                <w:sz w:val="24"/>
                <w:szCs w:val="22"/>
              </w:rPr>
            </w:r>
            <w:r>
              <w:rPr>
                <w:rFonts w:ascii="Times New Roman" w:hAnsi="Times New Roman"/>
                <w:sz w:val="24"/>
                <w:szCs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 1:500</w:t>
            </w:r>
            <w:r>
              <w:rPr>
                <w:rFonts w:ascii="Times New Roman" w:hAnsi="Times New Roman"/>
                <w:sz w:val="24"/>
                <w:szCs w:val="22"/>
              </w:rPr>
            </w:r>
            <w:r>
              <w:rPr>
                <w:rFonts w:ascii="Times New Roman" w:hAnsi="Times New Roman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97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рік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0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Менська міська рада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95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/>
                <w:b/>
                <w:color w:val="000000"/>
                <w:sz w:val="22"/>
              </w:rPr>
              <w:t xml:space="preserve">25,0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</w:rPr>
              <w:t xml:space="preserve">2024 р. – 25,0</w:t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  <w:r>
              <w:rPr>
                <w:rFonts w:ascii="Times New Roman" w:hAnsi="Times New Roman" w:eastAsia="Times New Roman"/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63" w:type="dxa"/>
            <w:vAlign w:val="top"/>
            <w:textDirection w:val="lrTb"/>
            <w:noWrap/>
          </w:tcPr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Державний бюджет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  <w:p>
            <w:pPr>
              <w:pStyle w:val="682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/>
                <w:color w:val="000000"/>
              </w:rPr>
            </w:pPr>
            <w:r>
              <w:rPr>
                <w:rFonts w:ascii="Times New Roman" w:hAnsi="Times New Roman" w:eastAsia="Times New Roman"/>
                <w:color w:val="000000"/>
              </w:rPr>
              <w:t xml:space="preserve">Місцевий бюджет</w:t>
            </w:r>
            <w:r>
              <w:rPr>
                <w:rFonts w:ascii="Times New Roman" w:hAnsi="Times New Roman" w:eastAsia="Times New Roman"/>
                <w:color w:val="000000"/>
              </w:rPr>
            </w:r>
            <w:r>
              <w:rPr>
                <w:rFonts w:ascii="Times New Roman" w:hAnsi="Times New Roman" w:eastAsia="Times New Roman"/>
                <w:color w:val="000000"/>
              </w:rPr>
            </w:r>
          </w:p>
        </w:tc>
      </w:tr>
    </w:tbl>
    <w:p>
      <w:pPr>
        <w:pStyle w:val="68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68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Cs/>
          <w:sz w:val="28"/>
          <w:szCs w:val="28"/>
        </w:rPr>
        <w:t xml:space="preserve">Начальник відділу житлово-комунального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682"/>
        <w:pBdr>
          <w:right w:val="none" w:color="000000" w:sz="4" w:space="9"/>
        </w:pBdr>
        <w:tabs>
          <w:tab w:val="left" w:leader="none" w:pos="567"/>
          <w:tab w:val="left" w:leader="none" w:pos="6803"/>
        </w:tabs>
        <w:spacing/>
        <w:ind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Cs/>
          <w:sz w:val="28"/>
          <w:szCs w:val="28"/>
        </w:rPr>
        <w:t xml:space="preserve">господарства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та 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bCs/>
          <w:sz w:val="28"/>
          <w:szCs w:val="28"/>
        </w:rPr>
        <w:t xml:space="preserve">комунального майна</w:t>
        <w:tab/>
        <w:t xml:space="preserve">Ірина ЄКИМЕНКО</w:t>
      </w:r>
      <w:r>
        <w:rPr>
          <w:rFonts w:ascii="Times New Roman" w:hAnsi="Times New Roman" w:eastAsia="Times New Roman"/>
          <w:bCs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17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pBdr/>
      <w:spacing/>
      <w:ind/>
      <w:jc w:val="right"/>
      <w:rPr>
        <w:rFonts w:ascii="Times New Roman" w:hAnsi="Times New Roman" w:eastAsia="Times New Roman"/>
        <w:i/>
        <w:sz w:val="24"/>
      </w:rPr>
    </w:pPr>
    <w:r>
      <w:fldChar w:fldCharType="begin"/>
    </w:r>
    <w:r>
      <w:instrText xml:space="preserve">PAGE \* MERGEFORMAT</w:instrText>
    </w:r>
    <w:r>
      <w:rPr>
        <w:rFonts w:ascii="Times New Roman" w:hAnsi="Times New Roman" w:eastAsia="Times New Roman"/>
        <w:i/>
        <w:sz w:val="24"/>
      </w:rPr>
      <w:fldChar w:fldCharType="separate"/>
    </w:r>
    <w:r>
      <w:rPr>
        <w:rFonts w:ascii="Times New Roman" w:hAnsi="Times New Roman" w:eastAsia="Times New Roman"/>
        <w:i/>
        <w:sz w:val="24"/>
      </w:rPr>
      <w:t xml:space="preserve">2</w:t>
    </w:r>
    <w:r>
      <w:rPr>
        <w:rFonts w:ascii="Times New Roman" w:hAnsi="Times New Roman" w:eastAsia="Times New Roman"/>
        <w:i/>
        <w:sz w:val="24"/>
      </w:rPr>
      <w:fldChar w:fldCharType="end"/>
    </w:r>
    <w:r>
      <w:rPr>
        <w:rFonts w:ascii="Times New Roman" w:hAnsi="Times New Roman" w:eastAsia="Times New Roman"/>
        <w:i/>
        <w:sz w:val="24"/>
      </w:rPr>
      <w:t xml:space="preserve">                                   продовження додатка</w:t>
    </w:r>
    <w:r>
      <w:rPr>
        <w:rFonts w:ascii="Times New Roman" w:hAnsi="Times New Roman" w:eastAsia="Times New Roman"/>
        <w:i/>
        <w:sz w:val="24"/>
      </w:rPr>
    </w:r>
    <w:r>
      <w:rPr>
        <w:rFonts w:ascii="Times New Roman" w:hAnsi="Times New Roman" w:eastAsia="Times New Roman"/>
        <w:i/>
        <w:sz w:val="24"/>
      </w:rPr>
    </w:r>
  </w:p>
  <w:p>
    <w:pPr>
      <w:pStyle w:val="737"/>
      <w:pBdr/>
      <w:spacing/>
      <w:ind/>
      <w:jc w:val="right"/>
      <w:rPr>
        <w:rFonts w:ascii="Times New Roman" w:hAnsi="Times New Roman" w:eastAsia="Times New Roman"/>
        <w:i/>
        <w:sz w:val="24"/>
      </w:rPr>
    </w:pPr>
    <w:r>
      <w:rPr>
        <w:rFonts w:ascii="Times New Roman" w:hAnsi="Times New Roman" w:eastAsia="Times New Roman"/>
        <w:i/>
        <w:sz w:val="24"/>
      </w:rPr>
    </w:r>
    <w:r>
      <w:rPr>
        <w:rFonts w:ascii="Times New Roman" w:hAnsi="Times New Roman" w:eastAsia="Times New Roman"/>
        <w:i/>
        <w:sz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2"/>
      <w:pBdr/>
      <w:spacing/>
      <w:ind/>
      <w:jc w:val="center"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82"/>
    <w:next w:val="682"/>
    <w:link w:val="70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82"/>
    <w:next w:val="682"/>
    <w:link w:val="71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82"/>
    <w:next w:val="682"/>
    <w:link w:val="71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68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82"/>
    <w:next w:val="682"/>
    <w:link w:val="71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8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82"/>
    <w:link w:val="7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82"/>
    <w:link w:val="7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82"/>
    <w:next w:val="6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82"/>
    <w:link w:val="7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82"/>
    <w:link w:val="7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82"/>
    <w:next w:val="682"/>
    <w:uiPriority w:val="99"/>
    <w:unhideWhenUsed/>
    <w:pPr>
      <w:pBdr/>
      <w:spacing w:after="0" w:afterAutospacing="0"/>
      <w:ind/>
    </w:pPr>
  </w:style>
  <w:style w:type="paragraph" w:styleId="682" w:default="1">
    <w:name w:val="Normal"/>
    <w:next w:val="682"/>
    <w:link w:val="682"/>
    <w:qFormat/>
    <w:pPr>
      <w:pBdr/>
      <w:spacing/>
      <w:ind/>
    </w:pPr>
    <w:rPr>
      <w:lang w:val="uk-UA" w:eastAsia="zh-CN" w:bidi="ar-SA"/>
    </w:rPr>
  </w:style>
  <w:style w:type="character" w:styleId="683">
    <w:name w:val="Основной шрифт абзаца"/>
    <w:next w:val="683"/>
    <w:link w:val="682"/>
    <w:uiPriority w:val="1"/>
    <w:semiHidden/>
    <w:unhideWhenUsed/>
    <w:pPr>
      <w:pBdr/>
      <w:spacing/>
      <w:ind/>
    </w:pPr>
  </w:style>
  <w:style w:type="table" w:styleId="684">
    <w:name w:val="Обычная таблица"/>
    <w:next w:val="684"/>
    <w:link w:val="682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85">
    <w:name w:val="Нет списка"/>
    <w:next w:val="685"/>
    <w:link w:val="682"/>
    <w:uiPriority w:val="99"/>
    <w:semiHidden/>
    <w:unhideWhenUsed/>
    <w:pPr>
      <w:pBdr/>
      <w:spacing/>
      <w:ind/>
    </w:pPr>
  </w:style>
  <w:style w:type="paragraph" w:styleId="686">
    <w:name w:val="Абзац списка"/>
    <w:next w:val="686"/>
    <w:link w:val="682"/>
    <w:pPr>
      <w:pBdr/>
      <w:spacing/>
      <w:ind w:left="720"/>
      <w:contextualSpacing w:val="true"/>
    </w:pPr>
    <w:rPr>
      <w:lang w:val="ru-RU" w:eastAsia="zh-CN" w:bidi="ar-SA"/>
    </w:rPr>
  </w:style>
  <w:style w:type="paragraph" w:styleId="687">
    <w:name w:val="Без интервала"/>
    <w:next w:val="687"/>
    <w:link w:val="87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eastAsia="en-US" w:bidi="en-US"/>
    </w:rPr>
  </w:style>
  <w:style w:type="paragraph" w:styleId="688">
    <w:name w:val="Название"/>
    <w:next w:val="688"/>
    <w:link w:val="733"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paragraph" w:styleId="689">
    <w:name w:val="Подзаголовок"/>
    <w:next w:val="689"/>
    <w:link w:val="734"/>
    <w:pPr>
      <w:pBdr/>
      <w:spacing w:after="200" w:before="200"/>
      <w:ind/>
    </w:pPr>
    <w:rPr>
      <w:sz w:val="24"/>
      <w:szCs w:val="24"/>
      <w:lang w:bidi="ar-SA"/>
    </w:rPr>
  </w:style>
  <w:style w:type="paragraph" w:styleId="690">
    <w:name w:val="Цитата 2"/>
    <w:next w:val="690"/>
    <w:link w:val="735"/>
    <w:pPr>
      <w:pBdr/>
      <w:spacing/>
      <w:ind w:right="720" w:left="720"/>
    </w:pPr>
    <w:rPr>
      <w:i/>
      <w:lang w:val="uk-UA" w:eastAsia="zh-CN" w:bidi="ar-SA"/>
    </w:rPr>
  </w:style>
  <w:style w:type="paragraph" w:styleId="691">
    <w:name w:val="Выделенная цитата"/>
    <w:next w:val="691"/>
    <w:link w:val="73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 w:bidi="ar-SA"/>
    </w:rPr>
  </w:style>
  <w:style w:type="table" w:styleId="692">
    <w:name w:val="Сетка таблицы"/>
    <w:next w:val="69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93">
    <w:name w:val="Гиперссылка"/>
    <w:next w:val="693"/>
    <w:link w:val="682"/>
    <w:pPr>
      <w:pBdr/>
      <w:spacing/>
      <w:ind/>
    </w:pPr>
    <w:rPr>
      <w:color w:val="0000ff"/>
      <w:u w:val="single"/>
    </w:rPr>
  </w:style>
  <w:style w:type="paragraph" w:styleId="694">
    <w:name w:val="Текст сноски"/>
    <w:next w:val="694"/>
    <w:link w:val="868"/>
    <w:semiHidden/>
    <w:pPr>
      <w:pBdr/>
      <w:spacing w:after="40"/>
      <w:ind/>
    </w:pPr>
    <w:rPr>
      <w:sz w:val="18"/>
      <w:lang w:bidi="ar-SA"/>
    </w:rPr>
  </w:style>
  <w:style w:type="character" w:styleId="695">
    <w:name w:val="Знак сноски"/>
    <w:next w:val="695"/>
    <w:link w:val="682"/>
    <w:pPr>
      <w:pBdr/>
      <w:spacing/>
      <w:ind/>
    </w:pPr>
    <w:rPr>
      <w:vertAlign w:val="superscript"/>
    </w:rPr>
  </w:style>
  <w:style w:type="paragraph" w:styleId="696">
    <w:name w:val="Текст концевой сноски"/>
    <w:next w:val="696"/>
    <w:link w:val="869"/>
    <w:semiHidden/>
    <w:pPr>
      <w:pBdr/>
      <w:spacing/>
      <w:ind/>
    </w:pPr>
    <w:rPr>
      <w:lang w:val="uk-UA" w:eastAsia="zh-CN" w:bidi="ar-SA"/>
    </w:rPr>
  </w:style>
  <w:style w:type="character" w:styleId="697">
    <w:name w:val="Знак концевой сноски"/>
    <w:next w:val="697"/>
    <w:link w:val="682"/>
    <w:semiHidden/>
    <w:pPr>
      <w:pBdr/>
      <w:spacing/>
      <w:ind/>
    </w:pPr>
    <w:rPr>
      <w:vertAlign w:val="superscript"/>
    </w:rPr>
  </w:style>
  <w:style w:type="paragraph" w:styleId="698">
    <w:name w:val="Оглавление 1"/>
    <w:next w:val="698"/>
    <w:link w:val="682"/>
    <w:pPr>
      <w:pBdr/>
      <w:spacing w:after="57"/>
      <w:ind/>
    </w:pPr>
    <w:rPr>
      <w:lang w:val="ru-RU" w:eastAsia="zh-CN" w:bidi="ar-SA"/>
    </w:rPr>
  </w:style>
  <w:style w:type="paragraph" w:styleId="699">
    <w:name w:val="Оглавление 2"/>
    <w:next w:val="699"/>
    <w:link w:val="682"/>
    <w:pPr>
      <w:pBdr/>
      <w:spacing w:after="57"/>
      <w:ind w:left="283"/>
    </w:pPr>
    <w:rPr>
      <w:lang w:val="ru-RU" w:eastAsia="zh-CN" w:bidi="ar-SA"/>
    </w:rPr>
  </w:style>
  <w:style w:type="paragraph" w:styleId="700">
    <w:name w:val="Оглавление 3"/>
    <w:next w:val="700"/>
    <w:link w:val="682"/>
    <w:pPr>
      <w:pBdr/>
      <w:spacing w:after="57"/>
      <w:ind w:left="567"/>
    </w:pPr>
    <w:rPr>
      <w:lang w:val="ru-RU" w:eastAsia="zh-CN" w:bidi="ar-SA"/>
    </w:rPr>
  </w:style>
  <w:style w:type="paragraph" w:styleId="701">
    <w:name w:val="Оглавление 4"/>
    <w:next w:val="701"/>
    <w:link w:val="682"/>
    <w:pPr>
      <w:pBdr/>
      <w:spacing w:after="57"/>
      <w:ind w:left="850"/>
    </w:pPr>
    <w:rPr>
      <w:lang w:val="ru-RU" w:eastAsia="zh-CN" w:bidi="ar-SA"/>
    </w:rPr>
  </w:style>
  <w:style w:type="paragraph" w:styleId="702">
    <w:name w:val="Оглавление 5"/>
    <w:next w:val="702"/>
    <w:link w:val="682"/>
    <w:pPr>
      <w:pBdr/>
      <w:spacing w:after="57"/>
      <w:ind w:left="1134"/>
    </w:pPr>
    <w:rPr>
      <w:lang w:val="ru-RU" w:eastAsia="zh-CN" w:bidi="ar-SA"/>
    </w:rPr>
  </w:style>
  <w:style w:type="paragraph" w:styleId="703">
    <w:name w:val="Оглавление 6"/>
    <w:next w:val="703"/>
    <w:link w:val="682"/>
    <w:pPr>
      <w:pBdr/>
      <w:spacing w:after="57"/>
      <w:ind w:left="1417"/>
    </w:pPr>
    <w:rPr>
      <w:lang w:val="ru-RU" w:eastAsia="zh-CN" w:bidi="ar-SA"/>
    </w:rPr>
  </w:style>
  <w:style w:type="paragraph" w:styleId="704">
    <w:name w:val="Оглавление 7"/>
    <w:next w:val="704"/>
    <w:link w:val="682"/>
    <w:pPr>
      <w:pBdr/>
      <w:spacing w:after="57"/>
      <w:ind w:left="1701"/>
    </w:pPr>
    <w:rPr>
      <w:lang w:val="ru-RU" w:eastAsia="zh-CN" w:bidi="ar-SA"/>
    </w:rPr>
  </w:style>
  <w:style w:type="paragraph" w:styleId="705">
    <w:name w:val="Оглавление 8"/>
    <w:next w:val="705"/>
    <w:link w:val="682"/>
    <w:pPr>
      <w:pBdr/>
      <w:spacing w:after="57"/>
      <w:ind w:left="1984"/>
    </w:pPr>
    <w:rPr>
      <w:lang w:val="ru-RU" w:eastAsia="zh-CN" w:bidi="ar-SA"/>
    </w:rPr>
  </w:style>
  <w:style w:type="paragraph" w:styleId="706">
    <w:name w:val="Оглавление 9"/>
    <w:next w:val="706"/>
    <w:link w:val="682"/>
    <w:pPr>
      <w:pBdr/>
      <w:spacing w:after="57"/>
      <w:ind w:left="2268"/>
    </w:pPr>
    <w:rPr>
      <w:lang w:val="ru-RU" w:eastAsia="zh-CN" w:bidi="ar-SA"/>
    </w:rPr>
  </w:style>
  <w:style w:type="paragraph" w:styleId="707">
    <w:name w:val="Заголовок оглавления"/>
    <w:next w:val="707"/>
    <w:link w:val="682"/>
    <w:pPr>
      <w:pBdr/>
      <w:spacing/>
      <w:ind/>
    </w:pPr>
    <w:rPr>
      <w:lang w:val="ru-RU" w:eastAsia="zh-CN" w:bidi="ar-SA"/>
    </w:rPr>
  </w:style>
  <w:style w:type="paragraph" w:styleId="708">
    <w:name w:val="Перечень рисунков"/>
    <w:next w:val="708"/>
    <w:link w:val="682"/>
    <w:pPr>
      <w:pBdr/>
      <w:spacing/>
      <w:ind/>
    </w:pPr>
    <w:rPr>
      <w:lang w:val="ru-RU" w:eastAsia="zh-CN" w:bidi="ar-SA"/>
    </w:rPr>
  </w:style>
  <w:style w:type="character" w:styleId="709">
    <w:name w:val="Title Char"/>
    <w:next w:val="709"/>
    <w:link w:val="682"/>
    <w:pPr>
      <w:pBdr/>
      <w:spacing/>
      <w:ind/>
    </w:pPr>
    <w:rPr>
      <w:sz w:val="48"/>
      <w:szCs w:val="48"/>
    </w:rPr>
  </w:style>
  <w:style w:type="character" w:styleId="710">
    <w:name w:val="Subtitle Char"/>
    <w:next w:val="710"/>
    <w:link w:val="682"/>
    <w:pPr>
      <w:pBdr/>
      <w:spacing/>
      <w:ind/>
    </w:pPr>
    <w:rPr>
      <w:sz w:val="24"/>
      <w:szCs w:val="24"/>
    </w:rPr>
  </w:style>
  <w:style w:type="character" w:styleId="711">
    <w:name w:val="Quote Char"/>
    <w:next w:val="711"/>
    <w:link w:val="682"/>
    <w:pPr>
      <w:pBdr/>
      <w:spacing/>
      <w:ind/>
    </w:pPr>
    <w:rPr>
      <w:i/>
    </w:rPr>
  </w:style>
  <w:style w:type="character" w:styleId="712">
    <w:name w:val="Intense Quote Char"/>
    <w:next w:val="712"/>
    <w:link w:val="682"/>
    <w:pPr>
      <w:pBdr/>
      <w:spacing/>
      <w:ind/>
    </w:pPr>
    <w:rPr>
      <w:i/>
    </w:rPr>
  </w:style>
  <w:style w:type="character" w:styleId="713">
    <w:name w:val="Footnote Text Char"/>
    <w:next w:val="713"/>
    <w:link w:val="682"/>
    <w:pPr>
      <w:pBdr/>
      <w:spacing/>
      <w:ind/>
    </w:pPr>
    <w:rPr>
      <w:sz w:val="18"/>
    </w:rPr>
  </w:style>
  <w:style w:type="character" w:styleId="714">
    <w:name w:val="Endnote Text Char"/>
    <w:next w:val="714"/>
    <w:link w:val="682"/>
    <w:pPr>
      <w:pBdr/>
      <w:spacing/>
      <w:ind/>
    </w:pPr>
    <w:rPr>
      <w:sz w:val="20"/>
    </w:rPr>
  </w:style>
  <w:style w:type="paragraph" w:styleId="715">
    <w:name w:val="Heading 1"/>
    <w:next w:val="715"/>
    <w:link w:val="716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16">
    <w:name w:val="Heading 1 Char"/>
    <w:next w:val="716"/>
    <w:link w:val="715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17">
    <w:name w:val="Heading 2"/>
    <w:next w:val="717"/>
    <w:link w:val="718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18">
    <w:name w:val="Heading 2 Char"/>
    <w:next w:val="718"/>
    <w:link w:val="717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19">
    <w:name w:val="Heading 3"/>
    <w:next w:val="719"/>
    <w:link w:val="720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20">
    <w:name w:val="Heading 3 Char"/>
    <w:next w:val="720"/>
    <w:link w:val="71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21">
    <w:name w:val="Heading 4"/>
    <w:next w:val="721"/>
    <w:link w:val="722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22">
    <w:name w:val="Heading 4 Char"/>
    <w:next w:val="722"/>
    <w:link w:val="721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23">
    <w:name w:val="Heading 5"/>
    <w:next w:val="723"/>
    <w:link w:val="724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24">
    <w:name w:val="Heading 5 Char"/>
    <w:next w:val="724"/>
    <w:link w:val="723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25">
    <w:name w:val="Heading 6"/>
    <w:next w:val="725"/>
    <w:link w:val="726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26">
    <w:name w:val="Heading 6 Char"/>
    <w:next w:val="726"/>
    <w:link w:val="725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27">
    <w:name w:val="Heading 7"/>
    <w:next w:val="727"/>
    <w:link w:val="728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8">
    <w:name w:val="Heading 7 Char"/>
    <w:next w:val="728"/>
    <w:link w:val="727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29">
    <w:name w:val="Heading 8"/>
    <w:next w:val="729"/>
    <w:link w:val="730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30">
    <w:name w:val="Heading 8 Char"/>
    <w:next w:val="730"/>
    <w:link w:val="72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31">
    <w:name w:val="Heading 9"/>
    <w:next w:val="731"/>
    <w:link w:val="732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32">
    <w:name w:val="Heading 9 Char"/>
    <w:next w:val="732"/>
    <w:link w:val="731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733">
    <w:name w:val="Название Знак"/>
    <w:next w:val="733"/>
    <w:link w:val="688"/>
    <w:pPr>
      <w:pBdr/>
      <w:spacing/>
      <w:ind/>
    </w:pPr>
    <w:rPr>
      <w:sz w:val="48"/>
      <w:szCs w:val="48"/>
      <w:lang w:bidi="ar-SA"/>
    </w:rPr>
  </w:style>
  <w:style w:type="character" w:styleId="734">
    <w:name w:val="Подзаголовок Знак"/>
    <w:next w:val="734"/>
    <w:link w:val="689"/>
    <w:pPr>
      <w:pBdr/>
      <w:spacing/>
      <w:ind/>
    </w:pPr>
    <w:rPr>
      <w:sz w:val="24"/>
      <w:szCs w:val="24"/>
      <w:lang w:bidi="ar-SA"/>
    </w:rPr>
  </w:style>
  <w:style w:type="character" w:styleId="735">
    <w:name w:val="Цитата 2 Знак"/>
    <w:next w:val="735"/>
    <w:link w:val="690"/>
    <w:pPr>
      <w:pBdr/>
      <w:spacing/>
      <w:ind/>
    </w:pPr>
    <w:rPr>
      <w:i/>
      <w:lang w:val="uk-UA" w:eastAsia="zh-CN" w:bidi="ar-SA"/>
    </w:rPr>
  </w:style>
  <w:style w:type="character" w:styleId="736">
    <w:name w:val="Выделенная цитата Знак"/>
    <w:next w:val="736"/>
    <w:link w:val="691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737">
    <w:name w:val="Header1"/>
    <w:next w:val="737"/>
    <w:link w:val="738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38">
    <w:name w:val="Header Char"/>
    <w:next w:val="738"/>
    <w:link w:val="737"/>
    <w:pPr>
      <w:pBdr/>
      <w:spacing/>
      <w:ind/>
    </w:pPr>
    <w:rPr>
      <w:lang w:val="ru-RU" w:eastAsia="zh-CN" w:bidi="ar-SA"/>
    </w:rPr>
  </w:style>
  <w:style w:type="paragraph" w:styleId="739">
    <w:name w:val="Footer1"/>
    <w:next w:val="739"/>
    <w:link w:val="742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40">
    <w:name w:val="Footer Char"/>
    <w:next w:val="740"/>
    <w:link w:val="682"/>
    <w:pPr>
      <w:pBdr/>
      <w:spacing/>
      <w:ind/>
    </w:pPr>
  </w:style>
  <w:style w:type="paragraph" w:styleId="741">
    <w:name w:val="Caption1"/>
    <w:next w:val="741"/>
    <w:link w:val="682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42">
    <w:name w:val="Caption Char"/>
    <w:next w:val="742"/>
    <w:link w:val="739"/>
    <w:pPr>
      <w:pBdr/>
      <w:spacing/>
      <w:ind/>
    </w:pPr>
    <w:rPr>
      <w:lang w:val="ru-RU" w:eastAsia="zh-CN" w:bidi="ar-SA"/>
    </w:rPr>
  </w:style>
  <w:style w:type="table" w:styleId="743">
    <w:name w:val="Table Grid Light"/>
    <w:next w:val="74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1"/>
    <w:next w:val="74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2"/>
    <w:next w:val="74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3"/>
    <w:next w:val="74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4"/>
    <w:next w:val="74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5"/>
    <w:next w:val="74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"/>
    <w:next w:val="74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1"/>
    <w:next w:val="75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2"/>
    <w:next w:val="75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3"/>
    <w:next w:val="75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4"/>
    <w:next w:val="75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5"/>
    <w:next w:val="75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6"/>
    <w:next w:val="75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"/>
    <w:next w:val="75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1"/>
    <w:next w:val="75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2"/>
    <w:next w:val="75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3"/>
    <w:next w:val="75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4"/>
    <w:next w:val="76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5"/>
    <w:next w:val="76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6"/>
    <w:next w:val="76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"/>
    <w:next w:val="76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1"/>
    <w:next w:val="76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2"/>
    <w:next w:val="76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3"/>
    <w:next w:val="76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4"/>
    <w:next w:val="76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5"/>
    <w:next w:val="76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6"/>
    <w:next w:val="76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"/>
    <w:next w:val="77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1"/>
    <w:next w:val="77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2"/>
    <w:next w:val="77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3"/>
    <w:next w:val="77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4"/>
    <w:next w:val="77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5"/>
    <w:next w:val="77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6"/>
    <w:next w:val="77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"/>
    <w:next w:val="77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1"/>
    <w:next w:val="77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2"/>
    <w:next w:val="77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3"/>
    <w:next w:val="78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- Accent 4"/>
    <w:next w:val="78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5"/>
    <w:next w:val="78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6"/>
    <w:next w:val="78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"/>
    <w:next w:val="78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1"/>
    <w:next w:val="78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2"/>
    <w:next w:val="78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3"/>
    <w:next w:val="78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4"/>
    <w:next w:val="78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5"/>
    <w:next w:val="78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6"/>
    <w:next w:val="79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"/>
    <w:next w:val="79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1"/>
    <w:next w:val="79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2"/>
    <w:next w:val="79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3"/>
    <w:next w:val="79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4"/>
    <w:next w:val="79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5"/>
    <w:next w:val="79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6"/>
    <w:next w:val="79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"/>
    <w:next w:val="79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1"/>
    <w:next w:val="79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2"/>
    <w:next w:val="80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3"/>
    <w:next w:val="80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4"/>
    <w:next w:val="80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5"/>
    <w:next w:val="80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6"/>
    <w:next w:val="80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"/>
    <w:next w:val="80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1"/>
    <w:next w:val="80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2"/>
    <w:next w:val="80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3"/>
    <w:next w:val="80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4"/>
    <w:next w:val="80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5"/>
    <w:next w:val="81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6"/>
    <w:next w:val="81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"/>
    <w:next w:val="81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1"/>
    <w:next w:val="81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2"/>
    <w:next w:val="81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3"/>
    <w:next w:val="81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4"/>
    <w:next w:val="81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5"/>
    <w:next w:val="81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6"/>
    <w:next w:val="81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"/>
    <w:next w:val="81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1"/>
    <w:next w:val="82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2"/>
    <w:next w:val="82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3"/>
    <w:next w:val="82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4"/>
    <w:next w:val="82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5"/>
    <w:next w:val="82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6"/>
    <w:next w:val="82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"/>
    <w:next w:val="82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1"/>
    <w:next w:val="82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2"/>
    <w:next w:val="82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3"/>
    <w:next w:val="82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4"/>
    <w:next w:val="83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5"/>
    <w:next w:val="83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6"/>
    <w:next w:val="83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"/>
    <w:next w:val="83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1"/>
    <w:next w:val="83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2"/>
    <w:next w:val="83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3"/>
    <w:next w:val="83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4"/>
    <w:next w:val="83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5"/>
    <w:next w:val="838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6"/>
    <w:next w:val="839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"/>
    <w:next w:val="840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1"/>
    <w:next w:val="84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2"/>
    <w:next w:val="84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3"/>
    <w:next w:val="84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4"/>
    <w:next w:val="84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5"/>
    <w:next w:val="84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6"/>
    <w:next w:val="84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"/>
    <w:next w:val="847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1"/>
    <w:next w:val="848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2"/>
    <w:next w:val="849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3"/>
    <w:next w:val="850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4"/>
    <w:next w:val="851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5"/>
    <w:next w:val="852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6"/>
    <w:next w:val="853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"/>
    <w:next w:val="854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1"/>
    <w:next w:val="855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2"/>
    <w:next w:val="856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3"/>
    <w:next w:val="857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4"/>
    <w:next w:val="858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5"/>
    <w:next w:val="859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6"/>
    <w:next w:val="860"/>
    <w:link w:val="682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"/>
    <w:next w:val="861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1"/>
    <w:next w:val="862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2"/>
    <w:next w:val="863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3"/>
    <w:next w:val="864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4"/>
    <w:next w:val="865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5"/>
    <w:next w:val="866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6"/>
    <w:next w:val="867"/>
    <w:link w:val="682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8">
    <w:name w:val="Текст сноски Знак"/>
    <w:next w:val="868"/>
    <w:link w:val="694"/>
    <w:semiHidden/>
    <w:pPr>
      <w:pBdr/>
      <w:spacing/>
      <w:ind/>
    </w:pPr>
    <w:rPr>
      <w:sz w:val="18"/>
      <w:lang w:bidi="ar-SA"/>
    </w:rPr>
  </w:style>
  <w:style w:type="character" w:styleId="869">
    <w:name w:val="Текст концевой сноски Знак"/>
    <w:next w:val="869"/>
    <w:link w:val="696"/>
    <w:semiHidden/>
    <w:pPr>
      <w:pBdr/>
      <w:spacing/>
      <w:ind/>
    </w:pPr>
    <w:rPr>
      <w:lang w:val="uk-UA" w:eastAsia="zh-CN" w:bidi="ar-SA"/>
    </w:rPr>
  </w:style>
  <w:style w:type="paragraph" w:styleId="870">
    <w:name w:val="Обычный1"/>
    <w:next w:val="870"/>
    <w:link w:val="68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871">
    <w:name w:val="Основной текст (2)"/>
    <w:basedOn w:val="683"/>
    <w:next w:val="871"/>
    <w:link w:val="682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872">
    <w:name w:val="Текст выноски"/>
    <w:basedOn w:val="682"/>
    <w:next w:val="872"/>
    <w:link w:val="873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873">
    <w:name w:val="Текст выноски Знак"/>
    <w:basedOn w:val="683"/>
    <w:next w:val="873"/>
    <w:link w:val="872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874">
    <w:name w:val="rvts23"/>
    <w:basedOn w:val="683"/>
    <w:next w:val="874"/>
    <w:link w:val="682"/>
    <w:pPr>
      <w:pBdr/>
      <w:spacing/>
      <w:ind/>
    </w:pPr>
  </w:style>
  <w:style w:type="character" w:styleId="875">
    <w:name w:val="Без интервала Знак"/>
    <w:next w:val="875"/>
    <w:link w:val="687"/>
    <w:pPr>
      <w:pBdr/>
      <w:spacing/>
      <w:ind/>
    </w:pPr>
    <w:rPr>
      <w:sz w:val="22"/>
      <w:szCs w:val="22"/>
      <w:shd w:val="nil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IVYekymenko</dc:creator>
  <cp:lastModifiedBy>СТАЛЬНИЧЕНКО Юрій Валерійович</cp:lastModifiedBy>
  <cp:revision>3</cp:revision>
  <dcterms:created xsi:type="dcterms:W3CDTF">2024-09-16T08:47:00Z</dcterms:created>
  <dcterms:modified xsi:type="dcterms:W3CDTF">2024-09-29T12:30:34Z</dcterms:modified>
  <cp:version>786432</cp:version>
</cp:coreProperties>
</file>