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00"/>
        <w:pBdr/>
        <w:spacing/>
        <w:ind/>
        <w:contextualSpacing w:val="true"/>
        <w:jc w:val="center"/>
        <w:rPr>
          <w:rFonts w:ascii="Times New Roman" w:hAnsi="Times New Roman" w:eastAsia="Times New Roman"/>
          <w:color w:val="000000"/>
          <w:sz w:val="16"/>
        </w:rPr>
      </w:pPr>
      <w:r>
        <w:rPr>
          <w:rFonts w:ascii="Times New Roman" w:hAnsi="Times New Roman" w:eastAsia="Times New Roman"/>
          <w:color w:val="000000"/>
          <w:sz w:val="16"/>
        </w:rPr>
      </w:r>
      <w:r>
        <w:rPr>
          <w:rFonts w:ascii="Times New Roman" w:hAnsi="Times New Roman" w:eastAsia="Times New Roman"/>
          <w:color w:val="000000"/>
          <w:sz w:val="16"/>
        </w:rPr>
      </w:r>
    </w:p>
    <w:p>
      <w:pPr>
        <w:pStyle w:val="700"/>
        <w:pBdr/>
        <w:spacing/>
        <w:ind/>
        <w:contextualSpacing w:val="true"/>
        <w:jc w:val="center"/>
        <w:rPr>
          <w:rFonts w:ascii="Times New Roman" w:hAnsi="Times New Roman" w:eastAsia="Times New Roman"/>
          <w:b/>
          <w:color w:val="000000"/>
          <w:sz w:val="28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eastAsia="Times New Roman"/>
          <w:b/>
          <w:color w:val="000000"/>
          <w:sz w:val="28"/>
        </w:rPr>
      </w:r>
      <w:r>
        <w:rPr>
          <w:rFonts w:ascii="Times New Roman" w:hAnsi="Times New Roman" w:eastAsia="Times New Roman"/>
          <w:b/>
          <w:color w:val="000000"/>
          <w:sz w:val="28"/>
        </w:rPr>
      </w:r>
    </w:p>
    <w:p>
      <w:pPr>
        <w:pStyle w:val="700"/>
        <w:pBdr/>
        <w:spacing/>
        <w:ind/>
        <w:contextualSpacing w:val="true"/>
        <w:jc w:val="center"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Style w:val="700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(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п’ят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десят друга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 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695"/>
        <w:widowControl w:val="false"/>
        <w:pBdr/>
        <w:spacing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val="ru-RU" w:eastAsia="hi-IN" w:bidi="hi-IN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hi-IN" w:bidi="hi-IN"/>
        </w:rPr>
      </w:r>
    </w:p>
    <w:p>
      <w:pPr>
        <w:pStyle w:val="700"/>
        <w:pBdr/>
        <w:spacing/>
        <w:ind/>
        <w:contextualSpacing w:val="true"/>
        <w:jc w:val="center"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Style w:val="695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  <w:t xml:space="preserve">27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  <w:t xml:space="preserve">вересня</w:t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  <w:t xml:space="preserve"> 2024 року</w:t>
        <w:tab/>
        <w:t xml:space="preserve">м. Мена</w:t>
        <w:tab/>
        <w:t xml:space="preserve">№486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hi-IN" w:bidi="hi-IN"/>
        </w:rPr>
      </w:r>
    </w:p>
    <w:p>
      <w:pPr>
        <w:pStyle w:val="695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hi-IN" w:bidi="hi-IN"/>
        </w:rPr>
      </w:r>
    </w:p>
    <w:p>
      <w:pPr>
        <w:pStyle w:val="700"/>
        <w:pBdr/>
        <w:spacing/>
        <w:ind/>
        <w:contextualSpacing w:val="true"/>
        <w:jc w:val="center"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Style w:val="700"/>
        <w:pBdr/>
        <w:spacing/>
        <w:ind w:right="5528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Про внесення змін до рішення 15 сесії Менської міської ради 8 скликання від 09 грудня 2021 року №788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, зі змінами</w:t>
      </w:r>
      <w:r>
        <w:rPr>
          <w:rFonts w:ascii="Times New Roman" w:hAnsi="Times New Roman" w:eastAsia="Times New Roman"/>
          <w:b/>
          <w:sz w:val="28"/>
          <w:szCs w:val="28"/>
        </w:rPr>
      </w: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pStyle w:val="700"/>
        <w:pBdr/>
        <w:spacing/>
        <w:ind w:right="5528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</w: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pStyle w:val="700"/>
        <w:pBdr/>
        <w:spacing/>
        <w:ind w:firstLine="567"/>
        <w:jc w:val="both"/>
        <w:rPr>
          <w:rFonts w:ascii="Times New Roman" w:hAnsi="Times New Roman" w:eastAsia="Times New Roman"/>
          <w:sz w:val="28"/>
          <w:szCs w:val="28"/>
          <w:lang w:eastAsia="ru-RU" w:bidi="ar-SA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Враховуючи необхідність внесення змін до </w:t>
      </w:r>
      <w:r>
        <w:rPr>
          <w:rFonts w:ascii="Times New Roman" w:hAnsi="Times New Roman" w:eastAsia="Times New Roman"/>
          <w:sz w:val="28"/>
          <w:szCs w:val="28"/>
        </w:rPr>
        <w:t xml:space="preserve">Програми «Питна вода» Менської міської територіальної громади на 2022-2024 роки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, зумовлену вимогами чинного законодавства, </w:t>
      </w:r>
      <w:r>
        <w:rPr>
          <w:rFonts w:ascii="Times New Roman" w:hAnsi="Times New Roman" w:eastAsia="Times New Roman"/>
          <w:sz w:val="28"/>
          <w:szCs w:val="28"/>
          <w:lang w:eastAsia="ru-RU" w:bidi="ar-SA"/>
        </w:rPr>
        <w:t xml:space="preserve">відповідно до статті 10 Водного кодексу України, статей 13, 43 Закону України «Про питну воду, питне водопостачання та водовідведення», Закону України «Про охорону навколишнього природного середовища»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 w:bidi="ar-SA"/>
        </w:rPr>
        <w:t xml:space="preserve">, з урахуванням розпорядження Кабінету Міністрів України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«</w:t>
      </w:r>
      <w:r>
        <w:rPr>
          <w:rStyle w:val="887"/>
          <w:rFonts w:ascii="Times New Roman" w:hAnsi="Times New Roman" w:eastAsia="Times New Roman"/>
          <w:bCs/>
          <w:color w:val="000000"/>
          <w:sz w:val="28"/>
          <w:szCs w:val="28"/>
          <w:shd w:val="clear" w:color="auto" w:fill="ffffff"/>
        </w:rPr>
        <w:t xml:space="preserve">Про схвалення Концепції Загальнодержавної цільової соціальної програми «Питна вода України» на 2022-2026 роки</w:t>
      </w:r>
      <w:r>
        <w:rPr>
          <w:rFonts w:ascii="Times New Roman" w:hAnsi="Times New Roman" w:eastAsia="Times New Roman"/>
          <w:sz w:val="28"/>
          <w:szCs w:val="28"/>
        </w:rPr>
        <w:t xml:space="preserve">»</w:t>
      </w:r>
      <w:r>
        <w:rPr>
          <w:rStyle w:val="887"/>
          <w:rFonts w:ascii="Times New Roman" w:hAnsi="Times New Roman" w:eastAsia="Times New Roman"/>
          <w:bCs/>
          <w:color w:val="000000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керуючись статтею 26 Закону України «Про</w:t>
      </w:r>
      <w:r>
        <w:rPr>
          <w:rFonts w:ascii="Times New Roman" w:hAnsi="Times New Roman" w:eastAsia="Times New Roman"/>
          <w:sz w:val="28"/>
          <w:szCs w:val="28"/>
        </w:rPr>
        <w:t xml:space="preserve"> місцеве самоврядування в Україні», </w:t>
      </w:r>
      <w:r>
        <w:rPr>
          <w:rFonts w:ascii="Times New Roman" w:hAnsi="Times New Roman" w:eastAsia="Times New Roman"/>
          <w:sz w:val="28"/>
          <w:szCs w:val="28"/>
          <w:lang w:eastAsia="ru-RU" w:bidi="ar-SA"/>
        </w:rPr>
        <w:t xml:space="preserve">Менська міська рада</w:t>
      </w:r>
      <w:r>
        <w:rPr>
          <w:rFonts w:ascii="Times New Roman" w:hAnsi="Times New Roman" w:eastAsia="Times New Roman"/>
          <w:sz w:val="28"/>
          <w:szCs w:val="28"/>
          <w:lang w:eastAsia="ru-RU" w:bidi="ar-SA"/>
        </w:rPr>
      </w:r>
      <w:r>
        <w:rPr>
          <w:rFonts w:ascii="Times New Roman" w:hAnsi="Times New Roman" w:eastAsia="Times New Roman"/>
          <w:sz w:val="28"/>
          <w:szCs w:val="28"/>
          <w:lang w:eastAsia="ru-RU" w:bidi="ar-SA"/>
        </w:rPr>
      </w:r>
    </w:p>
    <w:p>
      <w:pPr>
        <w:pStyle w:val="695"/>
        <w:pBdr/>
        <w:tabs>
          <w:tab w:val="left" w:leader="none" w:pos="1134"/>
          <w:tab w:val="left" w:leader="none" w:pos="1276"/>
        </w:tabs>
        <w:spacing/>
        <w:ind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ВИРІШИЛА: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695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1. Внести зміни до Програми «Питна вода» Менської міської територіальної громади на 2022-2024 роки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eastAsia="Times New Roman"/>
          <w:sz w:val="28"/>
          <w:szCs w:val="28"/>
        </w:rPr>
        <w:t xml:space="preserve">затвердженої рішенням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15 сесії Менської міської ради 8 скликання від 09 грудня 2021 року №788, </w:t>
      </w:r>
      <w:r>
        <w:rPr>
          <w:rFonts w:ascii="Times New Roman" w:hAnsi="Times New Roman" w:eastAsia="Times New Roman"/>
          <w:sz w:val="28"/>
          <w:szCs w:val="28"/>
        </w:rPr>
        <w:t xml:space="preserve">виклавши додаток до Програми в новій редакції, згідно додатку до даного рішення (додається).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695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2. Контроль за виконанням рішення покласти на постійну комісію міської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ради </w:t>
      </w:r>
      <w:r>
        <w:rPr>
          <w:rFonts w:ascii="Times New Roman" w:hAnsi="Times New Roman" w:eastAsia="Times New Roman"/>
          <w:bCs/>
          <w:sz w:val="28"/>
        </w:rPr>
        <w:t xml:space="preserve">з питань п</w:t>
      </w:r>
      <w:r>
        <w:rPr>
          <w:rFonts w:ascii="Times New Roman" w:hAnsi="Times New Roman" w:eastAsia="Times New Roman"/>
          <w:bCs/>
          <w:color w:val="000000"/>
          <w:sz w:val="28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 w:eastAsia="Times New Roman"/>
          <w:sz w:val="28"/>
          <w:szCs w:val="28"/>
        </w:rPr>
        <w:t xml:space="preserve">та першого заступника міського голови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з питань діяльності виконавчих органів ради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М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Гаєвого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95"/>
        <w:pBdr/>
        <w:spacing/>
        <w:ind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83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83"/>
        <w:pBdr/>
        <w:tabs>
          <w:tab w:val="left" w:leader="none" w:pos="6520"/>
          <w:tab w:val="left" w:leader="none" w:pos="6803"/>
        </w:tabs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 xml:space="preserve">Секретар ради</w:t>
        <w:tab/>
        <w:t xml:space="preserve">Юрій СТАЛЬНИЧЕНКО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17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4</w:t>
    </w:r>
    <w:r>
      <w:fldChar w:fldCharType="end"/>
    </w:r>
    <w:r/>
  </w:p>
  <w:p>
    <w:pPr>
      <w:pStyle w:val="750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5"/>
      <w:pBdr/>
      <w:spacing/>
      <w:ind/>
      <w:jc w:val="center"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95"/>
    <w:next w:val="695"/>
    <w:link w:val="72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95"/>
    <w:next w:val="695"/>
    <w:link w:val="7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95"/>
    <w:next w:val="695"/>
    <w:link w:val="7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695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95"/>
    <w:next w:val="695"/>
    <w:link w:val="72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9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95"/>
    <w:link w:val="7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95"/>
    <w:link w:val="7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95"/>
    <w:next w:val="69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95"/>
    <w:link w:val="72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95"/>
    <w:link w:val="72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95"/>
    <w:next w:val="695"/>
    <w:uiPriority w:val="99"/>
    <w:unhideWhenUsed/>
    <w:pPr>
      <w:pBdr/>
      <w:spacing w:after="0" w:afterAutospacing="0"/>
      <w:ind/>
    </w:pPr>
  </w:style>
  <w:style w:type="paragraph" w:styleId="695" w:default="1">
    <w:name w:val="Normal"/>
    <w:next w:val="695"/>
    <w:link w:val="695"/>
    <w:qFormat/>
    <w:pPr>
      <w:pBdr/>
      <w:spacing/>
      <w:ind/>
    </w:pPr>
    <w:rPr>
      <w:lang w:val="uk-UA" w:eastAsia="zh-CN" w:bidi="ar-SA"/>
    </w:rPr>
  </w:style>
  <w:style w:type="character" w:styleId="696">
    <w:name w:val="Основной шрифт абзаца"/>
    <w:next w:val="696"/>
    <w:link w:val="695"/>
    <w:uiPriority w:val="1"/>
    <w:semiHidden/>
    <w:unhideWhenUsed/>
    <w:pPr>
      <w:pBdr/>
      <w:spacing/>
      <w:ind/>
    </w:pPr>
  </w:style>
  <w:style w:type="table" w:styleId="697">
    <w:name w:val="Обычная таблица"/>
    <w:next w:val="697"/>
    <w:link w:val="695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8">
    <w:name w:val="Нет списка"/>
    <w:next w:val="698"/>
    <w:link w:val="695"/>
    <w:uiPriority w:val="99"/>
    <w:semiHidden/>
    <w:unhideWhenUsed/>
    <w:pPr>
      <w:pBdr/>
      <w:spacing/>
      <w:ind/>
    </w:pPr>
  </w:style>
  <w:style w:type="paragraph" w:styleId="699">
    <w:name w:val="Абзац списка"/>
    <w:next w:val="699"/>
    <w:link w:val="695"/>
    <w:pPr>
      <w:pBdr/>
      <w:spacing/>
      <w:ind w:left="720"/>
      <w:contextualSpacing w:val="true"/>
    </w:pPr>
    <w:rPr>
      <w:lang w:val="ru-RU" w:eastAsia="zh-CN" w:bidi="ar-SA"/>
    </w:rPr>
  </w:style>
  <w:style w:type="paragraph" w:styleId="700">
    <w:name w:val="Без интервала"/>
    <w:next w:val="700"/>
    <w:link w:val="88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eastAsia="en-US" w:bidi="en-US"/>
    </w:rPr>
  </w:style>
  <w:style w:type="paragraph" w:styleId="701">
    <w:name w:val="Название"/>
    <w:next w:val="701"/>
    <w:link w:val="746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paragraph" w:styleId="702">
    <w:name w:val="Подзаголовок"/>
    <w:next w:val="702"/>
    <w:link w:val="747"/>
    <w:pPr>
      <w:pBdr/>
      <w:spacing w:after="200" w:before="200"/>
      <w:ind/>
    </w:pPr>
    <w:rPr>
      <w:sz w:val="24"/>
      <w:szCs w:val="24"/>
      <w:lang w:bidi="ar-SA"/>
    </w:rPr>
  </w:style>
  <w:style w:type="paragraph" w:styleId="703">
    <w:name w:val="Цитата 2"/>
    <w:next w:val="703"/>
    <w:link w:val="748"/>
    <w:pPr>
      <w:pBdr/>
      <w:spacing/>
      <w:ind w:right="720" w:left="720"/>
    </w:pPr>
    <w:rPr>
      <w:i/>
      <w:lang w:val="uk-UA" w:eastAsia="zh-CN" w:bidi="ar-SA"/>
    </w:rPr>
  </w:style>
  <w:style w:type="paragraph" w:styleId="704">
    <w:name w:val="Выделенная цитата"/>
    <w:next w:val="704"/>
    <w:link w:val="74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table" w:styleId="705">
    <w:name w:val="Сетка таблицы"/>
    <w:next w:val="70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06">
    <w:name w:val="Гиперссылка"/>
    <w:next w:val="706"/>
    <w:link w:val="695"/>
    <w:pPr>
      <w:pBdr/>
      <w:spacing/>
      <w:ind/>
    </w:pPr>
    <w:rPr>
      <w:color w:val="0000ff"/>
      <w:u w:val="single"/>
    </w:rPr>
  </w:style>
  <w:style w:type="paragraph" w:styleId="707">
    <w:name w:val="Текст сноски"/>
    <w:next w:val="707"/>
    <w:link w:val="881"/>
    <w:semiHidden/>
    <w:pPr>
      <w:pBdr/>
      <w:spacing w:after="40"/>
      <w:ind/>
    </w:pPr>
    <w:rPr>
      <w:sz w:val="18"/>
      <w:lang w:bidi="ar-SA"/>
    </w:rPr>
  </w:style>
  <w:style w:type="character" w:styleId="708">
    <w:name w:val="Знак сноски"/>
    <w:next w:val="708"/>
    <w:link w:val="695"/>
    <w:pPr>
      <w:pBdr/>
      <w:spacing/>
      <w:ind/>
    </w:pPr>
    <w:rPr>
      <w:vertAlign w:val="superscript"/>
    </w:rPr>
  </w:style>
  <w:style w:type="paragraph" w:styleId="709">
    <w:name w:val="Текст концевой сноски"/>
    <w:next w:val="709"/>
    <w:link w:val="882"/>
    <w:semiHidden/>
    <w:pPr>
      <w:pBdr/>
      <w:spacing/>
      <w:ind/>
    </w:pPr>
    <w:rPr>
      <w:lang w:val="uk-UA" w:eastAsia="zh-CN" w:bidi="ar-SA"/>
    </w:rPr>
  </w:style>
  <w:style w:type="character" w:styleId="710">
    <w:name w:val="Знак концевой сноски"/>
    <w:next w:val="710"/>
    <w:link w:val="695"/>
    <w:semiHidden/>
    <w:pPr>
      <w:pBdr/>
      <w:spacing/>
      <w:ind/>
    </w:pPr>
    <w:rPr>
      <w:vertAlign w:val="superscript"/>
    </w:rPr>
  </w:style>
  <w:style w:type="paragraph" w:styleId="711">
    <w:name w:val="Оглавление 1"/>
    <w:next w:val="711"/>
    <w:link w:val="695"/>
    <w:pPr>
      <w:pBdr/>
      <w:spacing w:after="57"/>
      <w:ind/>
    </w:pPr>
    <w:rPr>
      <w:lang w:val="ru-RU" w:eastAsia="zh-CN" w:bidi="ar-SA"/>
    </w:rPr>
  </w:style>
  <w:style w:type="paragraph" w:styleId="712">
    <w:name w:val="Оглавление 2"/>
    <w:next w:val="712"/>
    <w:link w:val="695"/>
    <w:pPr>
      <w:pBdr/>
      <w:spacing w:after="57"/>
      <w:ind w:left="283"/>
    </w:pPr>
    <w:rPr>
      <w:lang w:val="ru-RU" w:eastAsia="zh-CN" w:bidi="ar-SA"/>
    </w:rPr>
  </w:style>
  <w:style w:type="paragraph" w:styleId="713">
    <w:name w:val="Оглавление 3"/>
    <w:next w:val="713"/>
    <w:link w:val="695"/>
    <w:pPr>
      <w:pBdr/>
      <w:spacing w:after="57"/>
      <w:ind w:left="567"/>
    </w:pPr>
    <w:rPr>
      <w:lang w:val="ru-RU" w:eastAsia="zh-CN" w:bidi="ar-SA"/>
    </w:rPr>
  </w:style>
  <w:style w:type="paragraph" w:styleId="714">
    <w:name w:val="Оглавление 4"/>
    <w:next w:val="714"/>
    <w:link w:val="695"/>
    <w:pPr>
      <w:pBdr/>
      <w:spacing w:after="57"/>
      <w:ind w:left="850"/>
    </w:pPr>
    <w:rPr>
      <w:lang w:val="ru-RU" w:eastAsia="zh-CN" w:bidi="ar-SA"/>
    </w:rPr>
  </w:style>
  <w:style w:type="paragraph" w:styleId="715">
    <w:name w:val="Оглавление 5"/>
    <w:next w:val="715"/>
    <w:link w:val="695"/>
    <w:pPr>
      <w:pBdr/>
      <w:spacing w:after="57"/>
      <w:ind w:left="1134"/>
    </w:pPr>
    <w:rPr>
      <w:lang w:val="ru-RU" w:eastAsia="zh-CN" w:bidi="ar-SA"/>
    </w:rPr>
  </w:style>
  <w:style w:type="paragraph" w:styleId="716">
    <w:name w:val="Оглавление 6"/>
    <w:next w:val="716"/>
    <w:link w:val="695"/>
    <w:pPr>
      <w:pBdr/>
      <w:spacing w:after="57"/>
      <w:ind w:left="1417"/>
    </w:pPr>
    <w:rPr>
      <w:lang w:val="ru-RU" w:eastAsia="zh-CN" w:bidi="ar-SA"/>
    </w:rPr>
  </w:style>
  <w:style w:type="paragraph" w:styleId="717">
    <w:name w:val="Оглавление 7"/>
    <w:next w:val="717"/>
    <w:link w:val="695"/>
    <w:pPr>
      <w:pBdr/>
      <w:spacing w:after="57"/>
      <w:ind w:left="1701"/>
    </w:pPr>
    <w:rPr>
      <w:lang w:val="ru-RU" w:eastAsia="zh-CN" w:bidi="ar-SA"/>
    </w:rPr>
  </w:style>
  <w:style w:type="paragraph" w:styleId="718">
    <w:name w:val="Оглавление 8"/>
    <w:next w:val="718"/>
    <w:link w:val="695"/>
    <w:pPr>
      <w:pBdr/>
      <w:spacing w:after="57"/>
      <w:ind w:left="1984"/>
    </w:pPr>
    <w:rPr>
      <w:lang w:val="ru-RU" w:eastAsia="zh-CN" w:bidi="ar-SA"/>
    </w:rPr>
  </w:style>
  <w:style w:type="paragraph" w:styleId="719">
    <w:name w:val="Оглавление 9"/>
    <w:next w:val="719"/>
    <w:link w:val="695"/>
    <w:pPr>
      <w:pBdr/>
      <w:spacing w:after="57"/>
      <w:ind w:left="2268"/>
    </w:pPr>
    <w:rPr>
      <w:lang w:val="ru-RU" w:eastAsia="zh-CN" w:bidi="ar-SA"/>
    </w:rPr>
  </w:style>
  <w:style w:type="paragraph" w:styleId="720">
    <w:name w:val="Заголовок оглавления"/>
    <w:next w:val="720"/>
    <w:link w:val="695"/>
    <w:pPr>
      <w:pBdr/>
      <w:spacing/>
      <w:ind/>
    </w:pPr>
    <w:rPr>
      <w:lang w:val="ru-RU" w:eastAsia="zh-CN" w:bidi="ar-SA"/>
    </w:rPr>
  </w:style>
  <w:style w:type="paragraph" w:styleId="721">
    <w:name w:val="Перечень рисунков"/>
    <w:next w:val="721"/>
    <w:link w:val="695"/>
    <w:pPr>
      <w:pBdr/>
      <w:spacing/>
      <w:ind/>
    </w:pPr>
    <w:rPr>
      <w:lang w:val="ru-RU" w:eastAsia="zh-CN" w:bidi="ar-SA"/>
    </w:rPr>
  </w:style>
  <w:style w:type="character" w:styleId="722">
    <w:name w:val="Title Char"/>
    <w:next w:val="722"/>
    <w:link w:val="695"/>
    <w:pPr>
      <w:pBdr/>
      <w:spacing/>
      <w:ind/>
    </w:pPr>
    <w:rPr>
      <w:sz w:val="48"/>
      <w:szCs w:val="48"/>
    </w:rPr>
  </w:style>
  <w:style w:type="character" w:styleId="723">
    <w:name w:val="Subtitle Char"/>
    <w:next w:val="723"/>
    <w:link w:val="695"/>
    <w:pPr>
      <w:pBdr/>
      <w:spacing/>
      <w:ind/>
    </w:pPr>
    <w:rPr>
      <w:sz w:val="24"/>
      <w:szCs w:val="24"/>
    </w:rPr>
  </w:style>
  <w:style w:type="character" w:styleId="724">
    <w:name w:val="Quote Char"/>
    <w:next w:val="724"/>
    <w:link w:val="695"/>
    <w:pPr>
      <w:pBdr/>
      <w:spacing/>
      <w:ind/>
    </w:pPr>
    <w:rPr>
      <w:i/>
    </w:rPr>
  </w:style>
  <w:style w:type="character" w:styleId="725">
    <w:name w:val="Intense Quote Char"/>
    <w:next w:val="725"/>
    <w:link w:val="695"/>
    <w:pPr>
      <w:pBdr/>
      <w:spacing/>
      <w:ind/>
    </w:pPr>
    <w:rPr>
      <w:i/>
    </w:rPr>
  </w:style>
  <w:style w:type="character" w:styleId="726">
    <w:name w:val="Footnote Text Char"/>
    <w:next w:val="726"/>
    <w:link w:val="695"/>
    <w:pPr>
      <w:pBdr/>
      <w:spacing/>
      <w:ind/>
    </w:pPr>
    <w:rPr>
      <w:sz w:val="18"/>
    </w:rPr>
  </w:style>
  <w:style w:type="character" w:styleId="727">
    <w:name w:val="Endnote Text Char"/>
    <w:next w:val="727"/>
    <w:link w:val="695"/>
    <w:pPr>
      <w:pBdr/>
      <w:spacing/>
      <w:ind/>
    </w:pPr>
    <w:rPr>
      <w:sz w:val="20"/>
    </w:rPr>
  </w:style>
  <w:style w:type="paragraph" w:styleId="728">
    <w:name w:val="Heading 1"/>
    <w:next w:val="728"/>
    <w:link w:val="729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29">
    <w:name w:val="Heading 1 Char"/>
    <w:next w:val="729"/>
    <w:link w:val="728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30">
    <w:name w:val="Heading 2"/>
    <w:next w:val="730"/>
    <w:link w:val="731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31">
    <w:name w:val="Heading 2 Char"/>
    <w:next w:val="731"/>
    <w:link w:val="730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32">
    <w:name w:val="Heading 3"/>
    <w:next w:val="732"/>
    <w:link w:val="733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33">
    <w:name w:val="Heading 3 Char"/>
    <w:next w:val="733"/>
    <w:link w:val="732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34">
    <w:name w:val="Heading 4"/>
    <w:next w:val="734"/>
    <w:link w:val="735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35">
    <w:name w:val="Heading 4 Char"/>
    <w:next w:val="735"/>
    <w:link w:val="734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36">
    <w:name w:val="Heading 5"/>
    <w:next w:val="736"/>
    <w:link w:val="737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37">
    <w:name w:val="Heading 5 Char"/>
    <w:next w:val="737"/>
    <w:link w:val="736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38">
    <w:name w:val="Heading 6"/>
    <w:next w:val="738"/>
    <w:link w:val="739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39">
    <w:name w:val="Heading 6 Char"/>
    <w:next w:val="739"/>
    <w:link w:val="738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40">
    <w:name w:val="Heading 7"/>
    <w:next w:val="740"/>
    <w:link w:val="741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1">
    <w:name w:val="Heading 7 Char"/>
    <w:next w:val="741"/>
    <w:link w:val="740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42">
    <w:name w:val="Heading 8"/>
    <w:next w:val="742"/>
    <w:link w:val="743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43">
    <w:name w:val="Heading 8 Char"/>
    <w:next w:val="743"/>
    <w:link w:val="74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44">
    <w:name w:val="Heading 9"/>
    <w:next w:val="744"/>
    <w:link w:val="74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45">
    <w:name w:val="Heading 9 Char"/>
    <w:next w:val="745"/>
    <w:link w:val="744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746">
    <w:name w:val="Название Знак"/>
    <w:next w:val="746"/>
    <w:link w:val="701"/>
    <w:pPr>
      <w:pBdr/>
      <w:spacing/>
      <w:ind/>
    </w:pPr>
    <w:rPr>
      <w:sz w:val="48"/>
      <w:szCs w:val="48"/>
      <w:lang w:bidi="ar-SA"/>
    </w:rPr>
  </w:style>
  <w:style w:type="character" w:styleId="747">
    <w:name w:val="Подзаголовок Знак"/>
    <w:next w:val="747"/>
    <w:link w:val="702"/>
    <w:pPr>
      <w:pBdr/>
      <w:spacing/>
      <w:ind/>
    </w:pPr>
    <w:rPr>
      <w:sz w:val="24"/>
      <w:szCs w:val="24"/>
      <w:lang w:bidi="ar-SA"/>
    </w:rPr>
  </w:style>
  <w:style w:type="character" w:styleId="748">
    <w:name w:val="Цитата 2 Знак"/>
    <w:next w:val="748"/>
    <w:link w:val="703"/>
    <w:pPr>
      <w:pBdr/>
      <w:spacing/>
      <w:ind/>
    </w:pPr>
    <w:rPr>
      <w:i/>
      <w:lang w:val="uk-UA" w:eastAsia="zh-CN" w:bidi="ar-SA"/>
    </w:rPr>
  </w:style>
  <w:style w:type="character" w:styleId="749">
    <w:name w:val="Выделенная цитата Знак"/>
    <w:next w:val="749"/>
    <w:link w:val="704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750">
    <w:name w:val="Header1"/>
    <w:next w:val="750"/>
    <w:link w:val="75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51">
    <w:name w:val="Header Char"/>
    <w:next w:val="751"/>
    <w:link w:val="750"/>
    <w:pPr>
      <w:pBdr/>
      <w:spacing/>
      <w:ind/>
    </w:pPr>
    <w:rPr>
      <w:lang w:val="ru-RU" w:eastAsia="zh-CN" w:bidi="ar-SA"/>
    </w:rPr>
  </w:style>
  <w:style w:type="paragraph" w:styleId="752">
    <w:name w:val="Footer1"/>
    <w:next w:val="752"/>
    <w:link w:val="755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53">
    <w:name w:val="Footer Char"/>
    <w:next w:val="753"/>
    <w:link w:val="695"/>
    <w:pPr>
      <w:pBdr/>
      <w:spacing/>
      <w:ind/>
    </w:pPr>
  </w:style>
  <w:style w:type="paragraph" w:styleId="754">
    <w:name w:val="Caption1"/>
    <w:next w:val="754"/>
    <w:link w:val="695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55">
    <w:name w:val="Caption Char"/>
    <w:next w:val="755"/>
    <w:link w:val="752"/>
    <w:pPr>
      <w:pBdr/>
      <w:spacing/>
      <w:ind/>
    </w:pPr>
    <w:rPr>
      <w:lang w:val="ru-RU" w:eastAsia="zh-CN" w:bidi="ar-SA"/>
    </w:rPr>
  </w:style>
  <w:style w:type="table" w:styleId="756">
    <w:name w:val="Table Grid Light"/>
    <w:next w:val="75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1"/>
    <w:next w:val="75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2"/>
    <w:next w:val="75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3"/>
    <w:next w:val="75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Plain Table 4"/>
    <w:next w:val="76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Plain Table 5"/>
    <w:next w:val="76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"/>
    <w:next w:val="76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1"/>
    <w:next w:val="76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- Accent 2"/>
    <w:next w:val="76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- Accent 3"/>
    <w:next w:val="76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- Accent 4"/>
    <w:next w:val="76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 - Accent 5"/>
    <w:next w:val="76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6"/>
    <w:next w:val="76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"/>
    <w:next w:val="76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1"/>
    <w:next w:val="77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- Accent 2"/>
    <w:next w:val="77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- Accent 3"/>
    <w:next w:val="77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- Accent 4"/>
    <w:next w:val="77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 - Accent 5"/>
    <w:next w:val="77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6"/>
    <w:next w:val="77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"/>
    <w:next w:val="77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1"/>
    <w:next w:val="77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- Accent 2"/>
    <w:next w:val="77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- Accent 3"/>
    <w:next w:val="77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- Accent 4"/>
    <w:next w:val="78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 - Accent 5"/>
    <w:next w:val="78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6"/>
    <w:next w:val="78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"/>
    <w:next w:val="78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1"/>
    <w:next w:val="78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- Accent 2"/>
    <w:next w:val="78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- Accent 3"/>
    <w:next w:val="78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- Accent 4"/>
    <w:next w:val="78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 - Accent 5"/>
    <w:next w:val="78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6"/>
    <w:next w:val="78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"/>
    <w:next w:val="79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- Accent 1"/>
    <w:next w:val="79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 - Accent 2"/>
    <w:next w:val="79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 - Accent 3"/>
    <w:next w:val="79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- Accent 4"/>
    <w:next w:val="79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 - Accent 5"/>
    <w:next w:val="79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 - Accent 6"/>
    <w:next w:val="79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"/>
    <w:next w:val="79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1"/>
    <w:next w:val="79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- Accent 2"/>
    <w:next w:val="79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 - Accent 3"/>
    <w:next w:val="80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 - Accent 4"/>
    <w:next w:val="80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 - Accent 5"/>
    <w:next w:val="80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6"/>
    <w:next w:val="80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"/>
    <w:next w:val="80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1"/>
    <w:next w:val="80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- Accent 2"/>
    <w:next w:val="80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 - Accent 3"/>
    <w:next w:val="80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 - Accent 4"/>
    <w:next w:val="80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 - Accent 5"/>
    <w:next w:val="80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6"/>
    <w:next w:val="81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"/>
    <w:next w:val="81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1"/>
    <w:next w:val="81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- Accent 2"/>
    <w:next w:val="81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- Accent 3"/>
    <w:next w:val="81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- Accent 4"/>
    <w:next w:val="81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 - Accent 5"/>
    <w:next w:val="81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6"/>
    <w:next w:val="81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"/>
    <w:next w:val="81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1"/>
    <w:next w:val="81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- Accent 2"/>
    <w:next w:val="82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- Accent 3"/>
    <w:next w:val="82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- Accent 4"/>
    <w:next w:val="82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 - Accent 5"/>
    <w:next w:val="82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6"/>
    <w:next w:val="82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"/>
    <w:next w:val="82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1"/>
    <w:next w:val="82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- Accent 2"/>
    <w:next w:val="82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- Accent 3"/>
    <w:next w:val="82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- Accent 4"/>
    <w:next w:val="82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 - Accent 5"/>
    <w:next w:val="83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6"/>
    <w:next w:val="83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"/>
    <w:next w:val="83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1"/>
    <w:next w:val="83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- Accent 2"/>
    <w:next w:val="83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- Accent 3"/>
    <w:next w:val="83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- Accent 4"/>
    <w:next w:val="83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 - Accent 5"/>
    <w:next w:val="83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6"/>
    <w:next w:val="83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"/>
    <w:next w:val="83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1"/>
    <w:next w:val="84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- Accent 2"/>
    <w:next w:val="84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- Accent 3"/>
    <w:next w:val="84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- Accent 4"/>
    <w:next w:val="84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 - Accent 5"/>
    <w:next w:val="84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6"/>
    <w:next w:val="84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"/>
    <w:next w:val="84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1"/>
    <w:next w:val="84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- Accent 2"/>
    <w:next w:val="84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 - Accent 3"/>
    <w:next w:val="84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- Accent 4"/>
    <w:next w:val="85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 - Accent 5"/>
    <w:next w:val="851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6"/>
    <w:next w:val="852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"/>
    <w:next w:val="853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1"/>
    <w:next w:val="85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- Accent 2"/>
    <w:next w:val="85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- Accent 3"/>
    <w:next w:val="85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- Accent 4"/>
    <w:next w:val="85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 - Accent 5"/>
    <w:next w:val="85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6"/>
    <w:next w:val="85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"/>
    <w:next w:val="860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1"/>
    <w:next w:val="861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 2"/>
    <w:next w:val="862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ned - Accent 3"/>
    <w:next w:val="863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 4"/>
    <w:next w:val="864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 5"/>
    <w:next w:val="865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6"/>
    <w:next w:val="866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"/>
    <w:next w:val="867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1"/>
    <w:next w:val="868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2"/>
    <w:next w:val="869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 3"/>
    <w:next w:val="870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 4"/>
    <w:next w:val="871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 5"/>
    <w:next w:val="872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6"/>
    <w:next w:val="873"/>
    <w:link w:val="695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"/>
    <w:next w:val="874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1"/>
    <w:next w:val="875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- Accent 2"/>
    <w:next w:val="876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- Accent 3"/>
    <w:next w:val="877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- Accent 4"/>
    <w:next w:val="878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- Accent 5"/>
    <w:next w:val="879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6"/>
    <w:next w:val="880"/>
    <w:link w:val="695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1">
    <w:name w:val="Текст сноски Знак"/>
    <w:next w:val="881"/>
    <w:link w:val="707"/>
    <w:semiHidden/>
    <w:pPr>
      <w:pBdr/>
      <w:spacing/>
      <w:ind/>
    </w:pPr>
    <w:rPr>
      <w:sz w:val="18"/>
      <w:lang w:bidi="ar-SA"/>
    </w:rPr>
  </w:style>
  <w:style w:type="character" w:styleId="882">
    <w:name w:val="Текст концевой сноски Знак"/>
    <w:next w:val="882"/>
    <w:link w:val="709"/>
    <w:semiHidden/>
    <w:pPr>
      <w:pBdr/>
      <w:spacing/>
      <w:ind/>
    </w:pPr>
    <w:rPr>
      <w:lang w:val="uk-UA" w:eastAsia="zh-CN" w:bidi="ar-SA"/>
    </w:rPr>
  </w:style>
  <w:style w:type="paragraph" w:styleId="883">
    <w:name w:val="Обычный1"/>
    <w:next w:val="883"/>
    <w:link w:val="69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884">
    <w:name w:val="Основной текст (2)"/>
    <w:basedOn w:val="696"/>
    <w:next w:val="884"/>
    <w:link w:val="695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885">
    <w:name w:val="Текст выноски"/>
    <w:basedOn w:val="695"/>
    <w:next w:val="885"/>
    <w:link w:val="886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886">
    <w:name w:val="Текст выноски Знак"/>
    <w:basedOn w:val="696"/>
    <w:next w:val="886"/>
    <w:link w:val="885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887">
    <w:name w:val="rvts23"/>
    <w:basedOn w:val="696"/>
    <w:next w:val="887"/>
    <w:link w:val="695"/>
    <w:pPr>
      <w:pBdr/>
      <w:spacing/>
      <w:ind/>
    </w:pPr>
  </w:style>
  <w:style w:type="character" w:styleId="888">
    <w:name w:val="Без интервала Знак"/>
    <w:next w:val="888"/>
    <w:link w:val="700"/>
    <w:pPr>
      <w:pBdr/>
      <w:spacing/>
      <w:ind/>
    </w:pPr>
    <w:rPr>
      <w:sz w:val="22"/>
      <w:szCs w:val="22"/>
      <w:shd w:val="nil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4</cp:revision>
  <dcterms:created xsi:type="dcterms:W3CDTF">2024-09-16T08:24:00Z</dcterms:created>
  <dcterms:modified xsi:type="dcterms:W3CDTF">2024-09-29T12:28:45Z</dcterms:modified>
  <cp:version>786432</cp:version>
</cp:coreProperties>
</file>