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65"/>
        <w:framePr w:hAnchor="page" w:vAnchor="page" w:wrap="none" w:x="1750" w:y="1157"/>
        <w:pBdr/>
        <w:shd w:val="clear" w:color="auto" w:fill="auto"/>
        <w:spacing w:after="0" w:line="260" w:lineRule="exact"/>
        <w:ind w:left="5620"/>
        <w:jc w:val="left"/>
        <w:rPr/>
      </w:pPr>
      <w:r>
        <w:t xml:space="preserve">ЗАТВЕРДЖЕНО</w:t>
      </w:r>
      <w:r/>
    </w:p>
    <w:p>
      <w:pPr>
        <w:pStyle w:val="665"/>
        <w:framePr w:h="1344" w:hAnchor="page" w:hRule="exact" w:vAnchor="page" w:w="9605" w:wrap="none" w:x="1750" w:y="1751"/>
        <w:pBdr/>
        <w:shd w:val="clear" w:color="auto" w:fill="auto"/>
        <w:spacing w:after="0"/>
        <w:ind w:left="5620"/>
        <w:jc w:val="left"/>
        <w:rPr/>
      </w:pPr>
      <w:r>
        <w:t xml:space="preserve">Рішення </w:t>
      </w:r>
      <w:r>
        <w:t xml:space="preserve">п’ятдесят другої</w:t>
      </w:r>
      <w:r>
        <w:t xml:space="preserve"> сесії </w:t>
      </w:r>
      <w:r>
        <w:t xml:space="preserve">Менської</w:t>
      </w:r>
      <w:r>
        <w:t xml:space="preserve"> міської ради восьмого скликання </w:t>
      </w:r>
      <w:r/>
    </w:p>
    <w:p>
      <w:pPr>
        <w:pStyle w:val="665"/>
        <w:framePr w:h="1344" w:hAnchor="page" w:hRule="exact" w:vAnchor="page" w:w="9605" w:wrap="none" w:x="1750" w:y="1751"/>
        <w:pBdr/>
        <w:shd w:val="clear" w:color="auto" w:fill="auto"/>
        <w:spacing w:after="0"/>
        <w:ind w:left="5620"/>
        <w:jc w:val="left"/>
        <w:rPr/>
      </w:pPr>
      <w:r>
        <w:t xml:space="preserve">11 вересня</w:t>
      </w:r>
      <w:r>
        <w:t xml:space="preserve"> 2024 року №470</w:t>
      </w:r>
      <w:r/>
    </w:p>
    <w:p>
      <w:pPr>
        <w:pStyle w:val="667"/>
        <w:framePr w:h="4095" w:hAnchor="page" w:hRule="exact" w:vAnchor="page" w:w="9605" w:wrap="none" w:x="1750" w:y="5483"/>
        <w:pBdr/>
        <w:shd w:val="clear" w:color="auto" w:fill="auto"/>
        <w:spacing w:before="0"/>
        <w:ind w:left="20"/>
        <w:rPr/>
      </w:pPr>
      <w:r>
        <w:t xml:space="preserve">Програма</w:t>
      </w:r>
      <w:r/>
    </w:p>
    <w:p>
      <w:pPr>
        <w:pStyle w:val="667"/>
        <w:framePr w:h="4095" w:hAnchor="page" w:hRule="exact" w:vAnchor="page" w:w="9605" w:wrap="none" w:x="1750" w:y="5483"/>
        <w:pBdr/>
        <w:shd w:val="clear" w:color="auto" w:fill="auto"/>
        <w:spacing w:before="0"/>
        <w:ind w:left="20"/>
        <w:rPr/>
      </w:pPr>
      <w:r>
        <w:t xml:space="preserve">підтримки діяльності</w:t>
        <w:br w:type="textWrapping" w:clear="all"/>
      </w:r>
      <w:r>
        <w:t xml:space="preserve">К</w:t>
      </w:r>
      <w:r>
        <w:t xml:space="preserve">омунального підприємства</w:t>
        <w:br w:type="textWrapping" w:clear="all"/>
        <w:t xml:space="preserve">„Агенція </w:t>
      </w:r>
      <w:r>
        <w:t xml:space="preserve">регіонального </w:t>
      </w:r>
      <w:r>
        <w:t xml:space="preserve">розвитку </w:t>
      </w:r>
      <w:r>
        <w:t xml:space="preserve">Менщини</w:t>
      </w:r>
      <w:r>
        <w:t xml:space="preserve">“</w:t>
      </w:r>
      <w:r/>
    </w:p>
    <w:p>
      <w:pPr>
        <w:pStyle w:val="667"/>
        <w:framePr w:h="4095" w:hAnchor="page" w:hRule="exact" w:vAnchor="page" w:w="9605" w:wrap="none" w:x="1750" w:y="5483"/>
        <w:pBdr/>
        <w:shd w:val="clear" w:color="auto" w:fill="auto"/>
        <w:spacing w:before="0"/>
        <w:ind w:left="20"/>
        <w:rPr/>
      </w:pPr>
      <w:r>
        <w:t xml:space="preserve">Менської міської ради</w:t>
      </w:r>
      <w:r/>
    </w:p>
    <w:p>
      <w:pPr>
        <w:pStyle w:val="667"/>
        <w:framePr w:h="4095" w:hAnchor="page" w:hRule="exact" w:vAnchor="page" w:w="9605" w:wrap="none" w:x="1750" w:y="5483"/>
        <w:pBdr/>
        <w:shd w:val="clear" w:color="auto" w:fill="auto"/>
        <w:spacing w:after="596" w:before="0"/>
        <w:ind w:left="20"/>
        <w:rPr/>
      </w:pPr>
      <w:r>
        <w:t xml:space="preserve">на 2024 р</w:t>
      </w:r>
      <w:r>
        <w:t xml:space="preserve">ік</w:t>
      </w:r>
      <w:r/>
    </w:p>
    <w:p>
      <w:pPr>
        <w:pStyle w:val="668"/>
        <w:framePr w:h="4095" w:hAnchor="page" w:hRule="exact" w:vAnchor="page" w:w="9605" w:wrap="none" w:x="1750" w:y="5483"/>
        <w:pBdr/>
        <w:shd w:val="clear" w:color="auto" w:fill="auto"/>
        <w:spacing w:after="0" w:before="0" w:line="380" w:lineRule="exact"/>
        <w:ind w:left="20"/>
        <w:rPr/>
      </w:pPr>
      <w:r/>
      <w:r/>
    </w:p>
    <w:p>
      <w:pPr>
        <w:pStyle w:val="665"/>
        <w:framePr w:h="328" w:hAnchor="page" w:hRule="exact" w:vAnchor="page" w:w="9605" w:wrap="none" w:x="1750" w:y="15370"/>
        <w:pBdr/>
        <w:shd w:val="clear" w:color="auto" w:fill="auto"/>
        <w:spacing w:after="0" w:line="260" w:lineRule="exact"/>
        <w:ind w:left="20"/>
        <w:rPr/>
      </w:pPr>
      <w:r>
        <w:t xml:space="preserve">2024 </w:t>
      </w:r>
      <w:r>
        <w:t xml:space="preserve"> </w:t>
      </w:r>
      <w:r>
        <w:t xml:space="preserve">рік</w:t>
      </w:r>
      <w:r/>
    </w:p>
    <w:p>
      <w:pPr>
        <w:pStyle w:val="632"/>
        <w:pBdr/>
        <w:spacing/>
        <w:ind/>
        <w:rPr>
          <w:sz w:val="2"/>
          <w:szCs w:val="2"/>
        </w:rPr>
        <w:sectPr>
          <w:footnotePr/>
          <w:endnotePr/>
          <w:type w:val="nextPage"/>
          <w:pgSz w:h="16840" w:orient="portrait" w:w="11900"/>
          <w:pgMar w:top="360" w:right="360" w:bottom="360" w:left="360" w:header="0" w:footer="3" w:gutter="0"/>
          <w:cols w:num="1" w:sep="0" w:space="720" w:equalWidth="1"/>
        </w:sect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669"/>
        <w:framePr w:hAnchor="page" w:vAnchor="page" w:wrap="none" w:x="5885" w:y="1157"/>
        <w:pBdr/>
        <w:shd w:val="clear" w:color="auto" w:fill="auto"/>
        <w:spacing w:line="260" w:lineRule="exact"/>
        <w:ind/>
        <w:rPr/>
      </w:pPr>
      <w:r>
        <w:t xml:space="preserve">З М І С Т</w:t>
      </w:r>
      <w:r/>
    </w:p>
    <w:tbl>
      <w:tblPr>
        <w:tblOverlap w:val="never"/>
        <w:tblW w:w="0" w:type="auto"/>
        <w:tblInd w:w="20" w:type="dxa"/>
        <w:tblBorders/>
        <w:tblLayout w:type="fixed"/>
        <w:tblCellMar>
          <w:left w:w="10" w:type="dxa"/>
          <w:top w:w="0" w:type="dxa"/>
          <w:right w:w="10" w:type="dxa"/>
          <w:bottom w:w="0" w:type="dxa"/>
        </w:tblCellMar>
        <w:tblLook w:val="04A0" w:firstRow="1" w:lastRow="0" w:firstColumn="1" w:lastColumn="0" w:noHBand="0" w:noVBand="1"/>
      </w:tblPr>
      <w:tblGrid>
        <w:gridCol w:w="821"/>
        <w:gridCol w:w="682"/>
        <w:gridCol w:w="7397"/>
        <w:gridCol w:w="835"/>
      </w:tblGrid>
      <w:tr>
        <w:trPr>
          <w:trHeight w:val="336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21" w:type="dxa"/>
            <w:vAlign w:val="bottom"/>
            <w:textDirection w:val="lrTb"/>
            <w:noWrap w:val="false"/>
          </w:tcPr>
          <w:p>
            <w:pPr>
              <w:pStyle w:val="665"/>
              <w:framePr w:h="5650" w:hAnchor="page" w:hRule="atLeast" w:vAnchor="page" w:w="9734" w:wrap="none" w:x="1685" w:y="1754"/>
              <w:pBdr/>
              <w:shd w:val="clear" w:color="auto" w:fill="auto"/>
              <w:spacing w:after="0" w:line="260" w:lineRule="exact"/>
              <w:ind/>
              <w:jc w:val="left"/>
              <w:rPr/>
            </w:pPr>
            <w:r>
              <w:rPr>
                <w:rStyle w:val="665"/>
              </w:rPr>
              <w:t xml:space="preserve">1.</w:t>
            </w:r>
            <w:r/>
          </w:p>
        </w:tc>
        <w:tc>
          <w:tcPr>
            <w:gridSpan w:val="2"/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079" w:type="dxa"/>
            <w:vAlign w:val="bottom"/>
            <w:textDirection w:val="lrTb"/>
            <w:noWrap w:val="false"/>
          </w:tcPr>
          <w:p>
            <w:pPr>
              <w:pStyle w:val="665"/>
              <w:framePr w:h="5650" w:hAnchor="page" w:hRule="atLeast" w:vAnchor="page" w:w="9734" w:wrap="none" w:x="1685" w:y="1754"/>
              <w:pBdr/>
              <w:shd w:val="clear" w:color="auto" w:fill="auto"/>
              <w:spacing w:after="0" w:line="260" w:lineRule="exact"/>
              <w:ind/>
              <w:jc w:val="both"/>
              <w:rPr/>
            </w:pPr>
            <w:r>
              <w:rPr>
                <w:rStyle w:val="665"/>
              </w:rPr>
              <w:t xml:space="preserve">Вступ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35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  <w:tr>
        <w:trPr>
          <w:trHeight w:val="331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21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  <w:tc>
          <w:tcPr>
            <w:gridSpan w:val="2"/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079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35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  <w:tr>
        <w:trPr>
          <w:trHeight w:val="336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21" w:type="dxa"/>
            <w:vAlign w:val="bottom"/>
            <w:textDirection w:val="lrTb"/>
            <w:noWrap w:val="false"/>
          </w:tcPr>
          <w:p>
            <w:pPr>
              <w:pStyle w:val="665"/>
              <w:framePr w:h="5650" w:hAnchor="page" w:hRule="atLeast" w:vAnchor="page" w:w="9734" w:wrap="none" w:x="1685" w:y="1754"/>
              <w:pBdr/>
              <w:shd w:val="clear" w:color="auto" w:fill="auto"/>
              <w:spacing w:after="0" w:line="260" w:lineRule="exact"/>
              <w:ind/>
              <w:jc w:val="left"/>
              <w:rPr/>
            </w:pPr>
            <w:r>
              <w:rPr>
                <w:rStyle w:val="665"/>
              </w:rPr>
              <w:t xml:space="preserve">2.</w:t>
            </w:r>
            <w:r/>
          </w:p>
        </w:tc>
        <w:tc>
          <w:tcPr>
            <w:gridSpan w:val="2"/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079" w:type="dxa"/>
            <w:vAlign w:val="bottom"/>
            <w:textDirection w:val="lrTb"/>
            <w:noWrap w:val="false"/>
          </w:tcPr>
          <w:p>
            <w:pPr>
              <w:pStyle w:val="665"/>
              <w:framePr w:h="5650" w:hAnchor="page" w:hRule="atLeast" w:vAnchor="page" w:w="9734" w:wrap="none" w:x="1685" w:y="1754"/>
              <w:pBdr/>
              <w:shd w:val="clear" w:color="auto" w:fill="auto"/>
              <w:spacing w:after="0" w:line="260" w:lineRule="exact"/>
              <w:ind/>
              <w:jc w:val="both"/>
              <w:rPr/>
            </w:pPr>
            <w:r>
              <w:rPr>
                <w:rStyle w:val="665"/>
              </w:rPr>
              <w:t xml:space="preserve">Визначення проблеми, на розв’язання якої спрямована Програма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35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  <w:tr>
        <w:trPr>
          <w:trHeight w:val="331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21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  <w:tc>
          <w:tcPr>
            <w:gridSpan w:val="2"/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079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35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  <w:tr>
        <w:trPr>
          <w:trHeight w:val="331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21" w:type="dxa"/>
            <w:vAlign w:val="bottom"/>
            <w:textDirection w:val="lrTb"/>
            <w:noWrap w:val="false"/>
          </w:tcPr>
          <w:p>
            <w:pPr>
              <w:pStyle w:val="665"/>
              <w:framePr w:h="5650" w:hAnchor="page" w:hRule="atLeast" w:vAnchor="page" w:w="9734" w:wrap="none" w:x="1685" w:y="1754"/>
              <w:pBdr/>
              <w:shd w:val="clear" w:color="auto" w:fill="auto"/>
              <w:spacing w:after="0" w:line="260" w:lineRule="exact"/>
              <w:ind/>
              <w:jc w:val="left"/>
              <w:rPr/>
            </w:pPr>
            <w:r>
              <w:rPr>
                <w:rStyle w:val="665"/>
              </w:rPr>
              <w:t xml:space="preserve">3.</w:t>
            </w:r>
            <w:r/>
          </w:p>
        </w:tc>
        <w:tc>
          <w:tcPr>
            <w:gridSpan w:val="2"/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079" w:type="dxa"/>
            <w:vAlign w:val="bottom"/>
            <w:textDirection w:val="lrTb"/>
            <w:noWrap w:val="false"/>
          </w:tcPr>
          <w:p>
            <w:pPr>
              <w:pStyle w:val="665"/>
              <w:framePr w:h="5650" w:hAnchor="page" w:hRule="atLeast" w:vAnchor="page" w:w="9734" w:wrap="none" w:x="1685" w:y="1754"/>
              <w:pBdr/>
              <w:shd w:val="clear" w:color="auto" w:fill="auto"/>
              <w:spacing w:after="0" w:line="260" w:lineRule="exact"/>
              <w:ind/>
              <w:jc w:val="both"/>
              <w:rPr/>
            </w:pPr>
            <w:r>
              <w:rPr>
                <w:rStyle w:val="665"/>
              </w:rPr>
              <w:t xml:space="preserve">Визначення мети Програми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35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  <w:tr>
        <w:trPr>
          <w:trHeight w:val="331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21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  <w:tc>
          <w:tcPr>
            <w:gridSpan w:val="2"/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079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35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  <w:tr>
        <w:trPr>
          <w:trHeight w:val="653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21" w:type="dxa"/>
            <w:vAlign w:val="top"/>
            <w:textDirection w:val="lrTb"/>
            <w:noWrap w:val="false"/>
          </w:tcPr>
          <w:p>
            <w:pPr>
              <w:pStyle w:val="665"/>
              <w:framePr w:h="5650" w:hAnchor="page" w:hRule="atLeast" w:vAnchor="page" w:w="9734" w:wrap="none" w:x="1685" w:y="1754"/>
              <w:pBdr/>
              <w:shd w:val="clear" w:color="auto" w:fill="auto"/>
              <w:spacing w:after="0" w:line="260" w:lineRule="exact"/>
              <w:ind/>
              <w:jc w:val="left"/>
              <w:rPr/>
            </w:pPr>
            <w:r>
              <w:rPr>
                <w:rStyle w:val="665"/>
              </w:rPr>
              <w:t xml:space="preserve">4.</w:t>
            </w:r>
            <w:r/>
          </w:p>
        </w:tc>
        <w:tc>
          <w:tcPr>
            <w:gridSpan w:val="2"/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079" w:type="dxa"/>
            <w:vAlign w:val="bottom"/>
            <w:textDirection w:val="lrTb"/>
            <w:noWrap w:val="false"/>
          </w:tcPr>
          <w:p>
            <w:pPr>
              <w:pStyle w:val="665"/>
              <w:framePr w:h="5650" w:hAnchor="page" w:hRule="atLeast" w:vAnchor="page" w:w="9734" w:wrap="none" w:x="1685" w:y="1754"/>
              <w:pBdr/>
              <w:shd w:val="clear" w:color="auto" w:fill="auto"/>
              <w:spacing w:after="0"/>
              <w:ind/>
              <w:jc w:val="both"/>
              <w:rPr/>
            </w:pPr>
            <w:r>
              <w:rPr>
                <w:rStyle w:val="665"/>
              </w:rPr>
              <w:t xml:space="preserve">Обгрунтування шляхів і засобів розв’язання проблеми, обсягів та джерел фінансування, строки та етапи виконання Програми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35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  <w:tr>
        <w:trPr>
          <w:trHeight w:val="331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21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  <w:tc>
          <w:tcPr>
            <w:gridSpan w:val="2"/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079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35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  <w:tr>
        <w:trPr>
          <w:trHeight w:val="336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21" w:type="dxa"/>
            <w:vAlign w:val="bottom"/>
            <w:textDirection w:val="lrTb"/>
            <w:noWrap w:val="false"/>
          </w:tcPr>
          <w:p>
            <w:pPr>
              <w:pStyle w:val="665"/>
              <w:framePr w:h="5650" w:hAnchor="page" w:hRule="atLeast" w:vAnchor="page" w:w="9734" w:wrap="none" w:x="1685" w:y="1754"/>
              <w:pBdr/>
              <w:shd w:val="clear" w:color="auto" w:fill="auto"/>
              <w:spacing w:after="0" w:line="260" w:lineRule="exact"/>
              <w:ind/>
              <w:jc w:val="left"/>
              <w:rPr/>
            </w:pPr>
            <w:r>
              <w:rPr>
                <w:rStyle w:val="665"/>
              </w:rPr>
              <w:t xml:space="preserve">5.</w:t>
            </w:r>
            <w:r/>
          </w:p>
        </w:tc>
        <w:tc>
          <w:tcPr>
            <w:gridSpan w:val="2"/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079" w:type="dxa"/>
            <w:vAlign w:val="bottom"/>
            <w:textDirection w:val="lrTb"/>
            <w:noWrap w:val="false"/>
          </w:tcPr>
          <w:p>
            <w:pPr>
              <w:pStyle w:val="665"/>
              <w:framePr w:h="5650" w:hAnchor="page" w:hRule="atLeast" w:vAnchor="page" w:w="9734" w:wrap="none" w:x="1685" w:y="1754"/>
              <w:pBdr/>
              <w:shd w:val="clear" w:color="auto" w:fill="auto"/>
              <w:spacing w:after="0" w:line="260" w:lineRule="exact"/>
              <w:ind/>
              <w:jc w:val="both"/>
              <w:rPr/>
            </w:pPr>
            <w:r>
              <w:rPr>
                <w:rStyle w:val="665"/>
              </w:rPr>
              <w:t xml:space="preserve">Перелік завдань і заходів Програми та результативні показники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35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  <w:tr>
        <w:trPr>
          <w:trHeight w:val="331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21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  <w:tc>
          <w:tcPr>
            <w:gridSpan w:val="2"/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079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35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  <w:tr>
        <w:trPr>
          <w:trHeight w:val="331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21" w:type="dxa"/>
            <w:vAlign w:val="bottom"/>
            <w:textDirection w:val="lrTb"/>
            <w:noWrap w:val="false"/>
          </w:tcPr>
          <w:p>
            <w:pPr>
              <w:pStyle w:val="665"/>
              <w:framePr w:h="5650" w:hAnchor="page" w:hRule="atLeast" w:vAnchor="page" w:w="9734" w:wrap="none" w:x="1685" w:y="1754"/>
              <w:pBdr/>
              <w:shd w:val="clear" w:color="auto" w:fill="auto"/>
              <w:spacing w:after="0" w:line="260" w:lineRule="exact"/>
              <w:ind/>
              <w:jc w:val="left"/>
              <w:rPr/>
            </w:pPr>
            <w:r>
              <w:rPr>
                <w:rStyle w:val="665"/>
              </w:rPr>
              <w:t xml:space="preserve">6.</w:t>
            </w:r>
            <w:r/>
          </w:p>
        </w:tc>
        <w:tc>
          <w:tcPr>
            <w:gridSpan w:val="2"/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079" w:type="dxa"/>
            <w:vAlign w:val="bottom"/>
            <w:textDirection w:val="lrTb"/>
            <w:noWrap w:val="false"/>
          </w:tcPr>
          <w:p>
            <w:pPr>
              <w:pStyle w:val="665"/>
              <w:framePr w:h="5650" w:hAnchor="page" w:hRule="atLeast" w:vAnchor="page" w:w="9734" w:wrap="none" w:x="1685" w:y="1754"/>
              <w:pBdr/>
              <w:shd w:val="clear" w:color="auto" w:fill="auto"/>
              <w:spacing w:after="0" w:line="260" w:lineRule="exact"/>
              <w:ind/>
              <w:jc w:val="both"/>
              <w:rPr/>
            </w:pPr>
            <w:r>
              <w:rPr>
                <w:rStyle w:val="665"/>
              </w:rPr>
              <w:t xml:space="preserve">Координація та контроль за ходом виконання Програми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35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  <w:tr>
        <w:trPr>
          <w:trHeight w:val="331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21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  <w:tc>
          <w:tcPr>
            <w:gridSpan w:val="2"/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079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35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  <w:tr>
        <w:trPr>
          <w:trHeight w:val="331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21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682" w:type="dxa"/>
            <w:vAlign w:val="bottom"/>
            <w:textDirection w:val="lrTb"/>
            <w:noWrap w:val="false"/>
          </w:tcPr>
          <w:p>
            <w:pPr>
              <w:pStyle w:val="665"/>
              <w:framePr w:h="5650" w:hAnchor="page" w:hRule="atLeast" w:vAnchor="page" w:w="9734" w:wrap="none" w:x="1685" w:y="1754"/>
              <w:pBdr/>
              <w:shd w:val="clear" w:color="auto" w:fill="auto"/>
              <w:spacing w:after="0" w:line="260" w:lineRule="exact"/>
              <w:ind/>
              <w:jc w:val="left"/>
              <w:rPr/>
            </w:pPr>
            <w:r>
              <w:rPr>
                <w:rStyle w:val="665"/>
              </w:rPr>
              <w:t xml:space="preserve">1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7397" w:type="dxa"/>
            <w:vAlign w:val="bottom"/>
            <w:textDirection w:val="lrTb"/>
            <w:noWrap w:val="false"/>
          </w:tcPr>
          <w:p>
            <w:pPr>
              <w:pStyle w:val="665"/>
              <w:framePr w:h="5650" w:hAnchor="page" w:hRule="atLeast" w:vAnchor="page" w:w="9734" w:wrap="none" w:x="1685" w:y="1754"/>
              <w:pBdr/>
              <w:shd w:val="clear" w:color="auto" w:fill="auto"/>
              <w:spacing w:after="0" w:line="260" w:lineRule="exact"/>
              <w:ind/>
              <w:jc w:val="left"/>
              <w:rPr/>
            </w:pPr>
            <w:r>
              <w:rPr>
                <w:rStyle w:val="665"/>
              </w:rPr>
              <w:t xml:space="preserve">Паспорт програми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35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  <w:tr>
        <w:trPr>
          <w:trHeight w:val="331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21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682" w:type="dxa"/>
            <w:vAlign w:val="bottom"/>
            <w:textDirection w:val="lrTb"/>
            <w:noWrap w:val="false"/>
          </w:tcPr>
          <w:p>
            <w:pPr>
              <w:pStyle w:val="665"/>
              <w:framePr w:h="5650" w:hAnchor="page" w:hRule="atLeast" w:vAnchor="page" w:w="9734" w:wrap="none" w:x="1685" w:y="1754"/>
              <w:pBdr/>
              <w:shd w:val="clear" w:color="auto" w:fill="auto"/>
              <w:spacing w:after="0" w:line="260" w:lineRule="exact"/>
              <w:ind/>
              <w:jc w:val="left"/>
              <w:rPr/>
            </w:pPr>
            <w:r>
              <w:rPr>
                <w:rStyle w:val="665"/>
              </w:rPr>
              <w:t xml:space="preserve">2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7397" w:type="dxa"/>
            <w:vAlign w:val="bottom"/>
            <w:textDirection w:val="lrTb"/>
            <w:noWrap w:val="false"/>
          </w:tcPr>
          <w:p>
            <w:pPr>
              <w:pStyle w:val="665"/>
              <w:framePr w:h="5650" w:hAnchor="page" w:hRule="atLeast" w:vAnchor="page" w:w="9734" w:wrap="none" w:x="1685" w:y="1754"/>
              <w:pBdr/>
              <w:shd w:val="clear" w:color="auto" w:fill="auto"/>
              <w:spacing w:after="0" w:line="260" w:lineRule="exact"/>
              <w:ind/>
              <w:jc w:val="left"/>
              <w:rPr/>
            </w:pPr>
            <w:r>
              <w:rPr>
                <w:rStyle w:val="665"/>
              </w:rPr>
              <w:t xml:space="preserve">Ресурсне забезпечення Програми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35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  <w:tr>
        <w:trPr>
          <w:trHeight w:val="336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21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682" w:type="dxa"/>
            <w:vAlign w:val="bottom"/>
            <w:textDirection w:val="lrTb"/>
            <w:noWrap w:val="false"/>
          </w:tcPr>
          <w:p>
            <w:pPr>
              <w:pStyle w:val="665"/>
              <w:framePr w:h="5650" w:hAnchor="page" w:hRule="atLeast" w:vAnchor="page" w:w="9734" w:wrap="none" w:x="1685" w:y="1754"/>
              <w:pBdr/>
              <w:shd w:val="clear" w:color="auto" w:fill="auto"/>
              <w:spacing w:after="0" w:line="260" w:lineRule="exact"/>
              <w:ind/>
              <w:jc w:val="left"/>
              <w:rPr/>
            </w:pPr>
            <w:r>
              <w:rPr>
                <w:rStyle w:val="665"/>
              </w:rPr>
              <w:t xml:space="preserve">3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7397" w:type="dxa"/>
            <w:vAlign w:val="bottom"/>
            <w:textDirection w:val="lrTb"/>
            <w:noWrap w:val="false"/>
          </w:tcPr>
          <w:p>
            <w:pPr>
              <w:pStyle w:val="665"/>
              <w:framePr w:h="5650" w:hAnchor="page" w:hRule="atLeast" w:vAnchor="page" w:w="9734" w:wrap="none" w:x="1685" w:y="1754"/>
              <w:pBdr/>
              <w:shd w:val="clear" w:color="auto" w:fill="auto"/>
              <w:spacing w:after="0" w:line="260" w:lineRule="exact"/>
              <w:ind/>
              <w:jc w:val="left"/>
              <w:rPr/>
            </w:pPr>
            <w:r>
              <w:rPr>
                <w:rStyle w:val="665"/>
              </w:rPr>
              <w:t xml:space="preserve">Напрями діяльності та заходи Програми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35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  <w:tr>
        <w:trPr>
          <w:trHeight w:val="341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821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682" w:type="dxa"/>
            <w:vAlign w:val="bottom"/>
            <w:textDirection w:val="lrTb"/>
            <w:noWrap w:val="false"/>
          </w:tcPr>
          <w:p>
            <w:pPr>
              <w:pStyle w:val="665"/>
              <w:framePr w:h="5650" w:hAnchor="page" w:hRule="atLeast" w:vAnchor="page" w:w="9734" w:wrap="none" w:x="1685" w:y="1754"/>
              <w:pBdr/>
              <w:shd w:val="clear" w:color="auto" w:fill="auto"/>
              <w:spacing w:after="0" w:line="260" w:lineRule="exact"/>
              <w:ind/>
              <w:jc w:val="left"/>
              <w:rPr/>
            </w:pPr>
            <w:r/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397" w:type="dxa"/>
            <w:vAlign w:val="bottom"/>
            <w:textDirection w:val="lrTb"/>
            <w:noWrap w:val="false"/>
          </w:tcPr>
          <w:p>
            <w:pPr>
              <w:pStyle w:val="665"/>
              <w:framePr w:h="5650" w:hAnchor="page" w:hRule="atLeast" w:vAnchor="page" w:w="9734" w:wrap="none" w:x="1685" w:y="1754"/>
              <w:pBdr/>
              <w:shd w:val="clear" w:color="auto" w:fill="auto"/>
              <w:spacing w:after="0" w:line="260" w:lineRule="exact"/>
              <w:ind/>
              <w:jc w:val="left"/>
              <w:rPr/>
            </w:pPr>
            <w:r/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35" w:type="dxa"/>
            <w:vAlign w:val="top"/>
            <w:textDirection w:val="lrTb"/>
            <w:noWrap w:val="false"/>
          </w:tcPr>
          <w:p>
            <w:pPr>
              <w:pStyle w:val="632"/>
              <w:framePr w:h="5650" w:hAnchor="page" w:hRule="atLeast" w:vAnchor="page" w:w="9734" w:wrap="none" w:x="1685" w:y="175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</w:tbl>
    <w:p>
      <w:pPr>
        <w:pStyle w:val="632"/>
        <w:pBdr/>
        <w:spacing/>
        <w:ind/>
        <w:rPr>
          <w:sz w:val="2"/>
          <w:szCs w:val="2"/>
        </w:rPr>
        <w:sectPr>
          <w:footnotePr/>
          <w:endnotePr/>
          <w:type w:val="nextPage"/>
          <w:pgSz w:h="16840" w:orient="portrait" w:w="11900"/>
          <w:pgMar w:top="360" w:right="360" w:bottom="360" w:left="360" w:header="0" w:footer="3" w:gutter="0"/>
          <w:cols w:num="1" w:sep="0" w:space="720" w:equalWidth="1"/>
        </w:sect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670"/>
        <w:framePr w:h="14226" w:hAnchor="page" w:hRule="exact" w:vAnchor="page" w:w="9701" w:wrap="none" w:x="1672" w:y="1108"/>
        <w:numPr>
          <w:ilvl w:val="0"/>
          <w:numId w:val="1"/>
        </w:numPr>
        <w:pBdr/>
        <w:shd w:val="clear" w:color="auto" w:fill="auto"/>
        <w:tabs>
          <w:tab w:val="left" w:leader="none" w:pos="4673"/>
        </w:tabs>
        <w:spacing/>
        <w:ind w:firstLine="0" w:left="4360"/>
        <w:rPr/>
      </w:pPr>
      <w:r/>
      <w:bookmarkStart w:id="0" w:name="bookmark1"/>
      <w:r/>
      <w:bookmarkStart w:id="1" w:name="_Hlk176879770"/>
      <w:r>
        <w:t xml:space="preserve">Вступ</w:t>
      </w:r>
      <w:bookmarkEnd w:id="0"/>
      <w:r/>
      <w:r/>
    </w:p>
    <w:p>
      <w:pPr>
        <w:pStyle w:val="665"/>
        <w:framePr w:h="14226" w:hAnchor="page" w:hRule="exact" w:vAnchor="page" w:w="9701" w:wrap="none" w:x="1672" w:y="1108"/>
        <w:suppressLineNumbers w:val="false"/>
        <w:pBdr/>
        <w:shd w:val="clear" w:color="auto" w:fill="auto"/>
        <w:spacing w:after="0" w:line="240" w:lineRule="auto"/>
        <w:ind w:firstLine="567"/>
        <w:jc w:val="both"/>
        <w:rPr/>
      </w:pPr>
      <w:r>
        <w:t xml:space="preserve">Програма підтримки діяльності </w:t>
      </w:r>
      <w:r>
        <w:t xml:space="preserve">К</w:t>
      </w:r>
      <w:r>
        <w:t xml:space="preserve">омунального підприємства „Агенція </w:t>
      </w:r>
      <w:r>
        <w:t xml:space="preserve">регіонального </w:t>
      </w:r>
      <w:r>
        <w:t xml:space="preserve">розвитку </w:t>
      </w:r>
      <w:r>
        <w:t xml:space="preserve">Менщини» Менської міської ради</w:t>
      </w:r>
      <w:r>
        <w:t xml:space="preserve"> на 2024 р</w:t>
      </w:r>
      <w:r>
        <w:t xml:space="preserve">ік</w:t>
      </w:r>
      <w:r>
        <w:t xml:space="preserve"> (далі - Програма) розроблена на підставі частини </w:t>
      </w:r>
      <w:r>
        <w:t xml:space="preserve">першої статті 143 Конституції України, відповідно до Цивільного кодексу України, Господарського кодексу України, Бюджетного кодексу України, статті 26 Закону України „Про місцеве самоврядування в Україні“ та спрямована на підтримку, розширення можливостей </w:t>
      </w:r>
      <w:r>
        <w:t xml:space="preserve">розвитку громади, залучення інвестиційних та грантових коштів, реалізації проектів, спрямованих на покращення життєдіяльності громади та її жителів. </w:t>
      </w:r>
      <w:r/>
    </w:p>
    <w:p>
      <w:pPr>
        <w:pStyle w:val="665"/>
        <w:framePr w:h="14226" w:hAnchor="page" w:hRule="exact" w:vAnchor="page" w:w="9701" w:wrap="none" w:x="1672" w:y="1108"/>
        <w:pBdr/>
        <w:shd w:val="clear" w:color="auto" w:fill="auto"/>
        <w:spacing w:after="0" w:line="240" w:lineRule="auto"/>
        <w:ind w:firstLine="567"/>
        <w:jc w:val="both"/>
        <w:rPr>
          <w14:ligatures w14:val="none"/>
        </w:rPr>
      </w:pPr>
      <w:r>
        <w:t xml:space="preserve">Прог</w:t>
      </w:r>
      <w:r>
        <w:t xml:space="preserve">рама визначає мету, завдання та шляхи підтримки діяльності </w:t>
      </w:r>
      <w:r>
        <w:t xml:space="preserve">К</w:t>
      </w:r>
      <w:r>
        <w:t xml:space="preserve">омунального підприємства „Агенція </w:t>
      </w:r>
      <w:r>
        <w:t xml:space="preserve">регіонального </w:t>
      </w:r>
      <w:r>
        <w:t xml:space="preserve">розвитку </w:t>
      </w:r>
      <w:r>
        <w:t xml:space="preserve">Менщини</w:t>
      </w:r>
      <w:r>
        <w:t xml:space="preserve">“.</w:t>
      </w:r>
      <w:r/>
    </w:p>
    <w:p>
      <w:pPr>
        <w:pStyle w:val="665"/>
        <w:framePr w:h="14226" w:hAnchor="page" w:hRule="exact" w:vAnchor="page" w:w="9701" w:wrap="none" w:x="1672" w:y="1108"/>
        <w:pBdr/>
        <w:shd w:val="clear" w:color="auto" w:fill="auto"/>
        <w:spacing w:after="0" w:line="240" w:lineRule="auto"/>
        <w:ind w:firstLine="567"/>
        <w:jc w:val="both"/>
        <w:rPr>
          <w14:ligatures w14:val="none"/>
        </w:rPr>
      </w:pPr>
      <w:r>
        <w:t xml:space="preserve">Відповідно до Статуту одним</w:t>
      </w:r>
      <w:r>
        <w:t xml:space="preserve">и</w:t>
      </w:r>
      <w:r>
        <w:t xml:space="preserve"> із основних напрямків діяльності Агенції регіонального розвитку Менщини є </w:t>
      </w:r>
      <w:r>
        <w:rPr>
          <w:lang w:eastAsia="ru-RU"/>
        </w:rPr>
        <w:t xml:space="preserve">с</w:t>
      </w:r>
      <w:r>
        <w:t xml:space="preserve">прияння</w:t>
      </w:r>
      <w:r>
        <w:t xml:space="preserve"> </w:t>
      </w:r>
      <w:r>
        <w:t xml:space="preserve">та</w:t>
      </w:r>
      <w:r>
        <w:t xml:space="preserve"> </w:t>
      </w:r>
      <w:r>
        <w:t xml:space="preserve">організація</w:t>
      </w:r>
      <w:r>
        <w:t xml:space="preserve"> </w:t>
      </w:r>
      <w:r>
        <w:t xml:space="preserve">розвитку Менської міської територіальної громади,</w:t>
      </w:r>
      <w:r>
        <w:t xml:space="preserve"> </w:t>
      </w:r>
      <w:r>
        <w:t xml:space="preserve">розвитку</w:t>
      </w:r>
      <w:r>
        <w:t xml:space="preserve"> </w:t>
      </w:r>
      <w:r>
        <w:t xml:space="preserve">її інфраструктури, і відповідного об’єднання для цього організаційних та</w:t>
      </w:r>
      <w:r>
        <w:t xml:space="preserve"> </w:t>
      </w:r>
      <w:r>
        <w:t xml:space="preserve">фінансових</w:t>
      </w:r>
      <w:r>
        <w:t xml:space="preserve"> </w:t>
      </w:r>
      <w:r>
        <w:t xml:space="preserve">ресурсів,</w:t>
      </w:r>
      <w:r>
        <w:t xml:space="preserve"> </w:t>
      </w:r>
      <w:r>
        <w:t xml:space="preserve">які</w:t>
      </w:r>
      <w:r>
        <w:t xml:space="preserve"> </w:t>
      </w:r>
      <w:r>
        <w:t xml:space="preserve">походять</w:t>
      </w:r>
      <w:r>
        <w:t xml:space="preserve"> </w:t>
      </w:r>
      <w:r>
        <w:t xml:space="preserve">як</w:t>
      </w:r>
      <w:r>
        <w:t xml:space="preserve"> </w:t>
      </w:r>
      <w:r>
        <w:t xml:space="preserve">з</w:t>
      </w:r>
      <w:r>
        <w:t xml:space="preserve"> </w:t>
      </w:r>
      <w:r>
        <w:t xml:space="preserve">території</w:t>
      </w:r>
      <w:r>
        <w:t xml:space="preserve"> </w:t>
      </w:r>
      <w:r>
        <w:t xml:space="preserve">громади,</w:t>
      </w:r>
      <w:r>
        <w:t xml:space="preserve"> </w:t>
      </w:r>
      <w:r>
        <w:t xml:space="preserve">так</w:t>
      </w:r>
      <w:r>
        <w:t xml:space="preserve"> </w:t>
      </w:r>
      <w:r>
        <w:t xml:space="preserve">і</w:t>
      </w:r>
      <w:r>
        <w:t xml:space="preserve"> </w:t>
      </w:r>
      <w:r>
        <w:t xml:space="preserve">з-поза</w:t>
      </w:r>
      <w:r>
        <w:t xml:space="preserve"> </w:t>
      </w:r>
      <w:r>
        <w:t xml:space="preserve">її</w:t>
      </w:r>
      <w:r>
        <w:t xml:space="preserve"> </w:t>
      </w:r>
      <w:r>
        <w:t xml:space="preserve">меж,</w:t>
      </w:r>
      <w:r>
        <w:t xml:space="preserve"> </w:t>
      </w:r>
      <w:r>
        <w:t xml:space="preserve">сприяння</w:t>
      </w:r>
      <w:r>
        <w:t xml:space="preserve"> </w:t>
      </w:r>
      <w:r>
        <w:t xml:space="preserve">залученню</w:t>
      </w:r>
      <w:r>
        <w:t xml:space="preserve"> </w:t>
      </w:r>
      <w:r>
        <w:t xml:space="preserve">інвестицій</w:t>
      </w:r>
      <w:r>
        <w:t xml:space="preserve"> </w:t>
      </w:r>
      <w:r>
        <w:t xml:space="preserve">в</w:t>
      </w:r>
      <w:r>
        <w:t xml:space="preserve"> </w:t>
      </w:r>
      <w:r>
        <w:t xml:space="preserve">економіку громади,</w:t>
      </w:r>
      <w:r>
        <w:t xml:space="preserve"> </w:t>
      </w:r>
      <w:r>
        <w:t xml:space="preserve">формування</w:t>
      </w:r>
      <w:r>
        <w:t xml:space="preserve"> </w:t>
      </w:r>
      <w:r>
        <w:t xml:space="preserve">позитивного</w:t>
      </w:r>
      <w:r>
        <w:t xml:space="preserve"> </w:t>
      </w:r>
      <w:r>
        <w:t xml:space="preserve">іміджу</w:t>
      </w:r>
      <w:r>
        <w:t xml:space="preserve"> </w:t>
      </w:r>
      <w:r>
        <w:t xml:space="preserve">громади, </w:t>
      </w:r>
      <w:r>
        <w:rPr>
          <w:lang w:eastAsia="ru-RU"/>
        </w:rPr>
        <w:t xml:space="preserve">співпраця</w:t>
      </w:r>
      <w:r>
        <w:rPr>
          <w:lang w:eastAsia="ru-RU"/>
        </w:rPr>
        <w:t xml:space="preserve"> з вітчизняними та іноземними партнерами, фондами, грантодавцями, благодійниками, громадськими експертами у різних сферах діяльності; розвиток міжнародних зв’язків та налагодження міжнародної співпраці з питань, які стосуються статутної діяльності Агенції,</w:t>
      </w:r>
      <w:r>
        <w:t xml:space="preserve"> а також р</w:t>
      </w:r>
      <w:r>
        <w:rPr>
          <w:lang w:eastAsia="ru-RU"/>
        </w:rPr>
        <w:t xml:space="preserve">озробка р</w:t>
      </w:r>
      <w:r>
        <w:rPr>
          <w:lang w:eastAsia="ru-RU"/>
        </w:rPr>
        <w:t xml:space="preserve">егіональних, національних (державних), міжнародних програм та проектів інноваційно-інвестиційного та соціально-економічного  розвитку, в т.ч. грантових, їх адміністрування і супровід; поширення та апробація успішного досвіду реалізації проектів та програм.</w:t>
      </w:r>
      <w:r>
        <w:rPr>
          <w:lang w:eastAsia="ru-RU"/>
        </w:rPr>
      </w:r>
    </w:p>
    <w:p>
      <w:pPr>
        <w:pStyle w:val="665"/>
        <w:framePr w:h="14226" w:hAnchor="page" w:hRule="exact" w:vAnchor="page" w:w="9701" w:wrap="none" w:x="1672" w:y="1108"/>
        <w:pBdr/>
        <w:shd w:val="clear" w:color="auto" w:fill="auto"/>
        <w:spacing w:after="0" w:line="240" w:lineRule="auto"/>
        <w:ind w:firstLine="567"/>
        <w:jc w:val="both"/>
        <w:rPr/>
      </w:pPr>
      <w:r/>
      <w:bookmarkEnd w:id="1"/>
      <w:r>
        <w:t xml:space="preserve">На даний час міською радою розпочато реалізацію </w:t>
      </w:r>
      <w:r>
        <w:t xml:space="preserve">проекту МФК з реновації комунальних будівель для поселення ВПО в рамках Грантового договору між Комунальним підприємс</w:t>
      </w:r>
      <w:r>
        <w:t xml:space="preserve">твом «Агенція регіонального розвитку Менщини» Менської міської ради, Менською міською радою, Виконавчим комітетом Менської міської ради та Міжнародною </w:t>
      </w:r>
      <w:r>
        <w:t xml:space="preserve">фінансовою корпорацією. Головним виконавцем зазначеного проекту є Агенція регіонального розвитку Менщини.</w:t>
      </w:r>
      <w:r/>
    </w:p>
    <w:p>
      <w:pPr>
        <w:pStyle w:val="632"/>
        <w:pBdr/>
        <w:spacing/>
        <w:ind/>
        <w:rPr>
          <w:sz w:val="2"/>
          <w:szCs w:val="2"/>
        </w:rPr>
        <w:sectPr>
          <w:footnotePr/>
          <w:endnotePr/>
          <w:type w:val="nextPage"/>
          <w:pgSz w:h="16840" w:orient="portrait" w:w="11900"/>
          <w:pgMar w:top="360" w:right="360" w:bottom="360" w:left="360" w:header="0" w:footer="3" w:gutter="0"/>
          <w:cols w:num="1" w:sep="0" w:space="720" w:equalWidth="1"/>
        </w:sect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670"/>
        <w:framePr w:h="14548" w:hAnchor="page" w:hRule="exact" w:vAnchor="page" w:w="9701" w:wrap="none" w:x="1672" w:y="1103"/>
        <w:numPr>
          <w:ilvl w:val="0"/>
          <w:numId w:val="1"/>
        </w:numPr>
        <w:pBdr/>
        <w:shd w:val="clear" w:color="auto" w:fill="auto"/>
        <w:tabs>
          <w:tab w:val="left" w:leader="none" w:pos="927"/>
        </w:tabs>
        <w:spacing/>
        <w:ind w:firstLine="600"/>
        <w:rPr>
          <w:color w:val="000000"/>
        </w:rPr>
      </w:pPr>
      <w:r/>
      <w:bookmarkStart w:id="2" w:name="bookmark2"/>
      <w:r/>
      <w:bookmarkStart w:id="3" w:name="_Hlk176879802"/>
      <w:r>
        <w:rPr>
          <w:color w:val="000000"/>
        </w:rPr>
        <w:t xml:space="preserve">Визначення проблеми, на розв’язання якої спрямована Програма</w:t>
      </w:r>
      <w:bookmarkEnd w:id="2"/>
      <w:r>
        <w:rPr>
          <w:color w:val="000000"/>
        </w:rPr>
      </w:r>
      <w:r>
        <w:rPr>
          <w:color w:val="000000"/>
        </w:rPr>
      </w:r>
    </w:p>
    <w:p>
      <w:pPr>
        <w:pStyle w:val="665"/>
        <w:framePr w:h="14548" w:hAnchor="page" w:hRule="exact" w:vAnchor="page" w:w="9701" w:wrap="none" w:x="1672" w:y="1103"/>
        <w:pBdr/>
        <w:shd w:val="clear" w:color="auto" w:fill="auto"/>
        <w:spacing w:after="0" w:line="240" w:lineRule="auto"/>
        <w:ind w:firstLine="567"/>
        <w:jc w:val="both"/>
        <w:rPr>
          <w14:ligatures w14:val="none"/>
        </w:rPr>
      </w:pPr>
      <w:r>
        <w:t xml:space="preserve">Головно</w:t>
      </w:r>
      <w:r>
        <w:t xml:space="preserve">ю проблемою, що стримує </w:t>
      </w:r>
      <w:r>
        <w:t xml:space="preserve">залучення грантових та інвестиційних коштів в бізнес громади та для реалізації бюджетних проектів є недостатність спеціалістів для формування грандових заявок та для реалізації і ведення проектів. </w:t>
      </w:r>
      <w:r/>
    </w:p>
    <w:p>
      <w:pPr>
        <w:pStyle w:val="665"/>
        <w:framePr w:h="14548" w:hAnchor="page" w:hRule="exact" w:vAnchor="page" w:w="9701" w:wrap="none" w:x="1672" w:y="1103"/>
        <w:pBdr/>
        <w:shd w:val="clear" w:color="auto" w:fill="auto"/>
        <w:spacing w:after="0" w:line="240" w:lineRule="auto"/>
        <w:ind w:firstLine="567"/>
        <w:jc w:val="both"/>
        <w:rPr>
          <w14:ligatures w14:val="none"/>
        </w:rPr>
      </w:pPr>
      <w:r>
        <w:t xml:space="preserve">Для </w:t>
      </w:r>
      <w:r>
        <w:t xml:space="preserve">вирішення проблем з фінансуванням перспективних галузей місцевого економічного розвитку потрібна консолідація фінансових ресурсів з різних джерел не заборонених законодавством, зокрема шляхом співпраці з проєктами і грантами міжнародної технічної допомоги.</w:t>
      </w:r>
      <w:r/>
    </w:p>
    <w:p>
      <w:pPr>
        <w:pStyle w:val="665"/>
        <w:framePr w:h="14548" w:hAnchor="page" w:hRule="exact" w:vAnchor="page" w:w="9701" w:wrap="none" w:x="1672" w:y="1103"/>
        <w:pBdr/>
        <w:shd w:val="clear" w:color="auto" w:fill="auto"/>
        <w:spacing w:after="0" w:line="240" w:lineRule="auto"/>
        <w:ind w:firstLine="567"/>
        <w:jc w:val="both"/>
        <w:rPr>
          <w14:ligatures w14:val="none"/>
        </w:rPr>
      </w:pPr>
      <w:r>
        <w:t xml:space="preserve">Разом з тим, підготовка заявок на участь в грант</w:t>
      </w:r>
      <w:r>
        <w:t xml:space="preserve">ах потребує достатньо високої кваліфікації, яка відсутня у більшості керівників підприємств та ФОПів, і, одночасно за браком часу внаслідок високої завантаженості, призводить до втрати можливостей із залучення значних ресурсів в розвиток економіки громади.</w:t>
      </w:r>
      <w:r/>
    </w:p>
    <w:p>
      <w:pPr>
        <w:pStyle w:val="665"/>
        <w:framePr w:h="14548" w:hAnchor="page" w:hRule="exact" w:vAnchor="page" w:w="9701" w:wrap="none" w:x="1672" w:y="1103"/>
        <w:pBdr/>
        <w:shd w:val="clear" w:color="auto" w:fill="auto"/>
        <w:spacing w:after="0" w:line="240" w:lineRule="auto"/>
        <w:ind w:firstLine="567"/>
        <w:jc w:val="both"/>
        <w:rPr>
          <w14:ligatures w14:val="none"/>
        </w:rPr>
      </w:pPr>
      <w:r>
        <w:t xml:space="preserve">З огляду на це, все більшу значимість набуває діалог влади та місцевого бізнесу з питань прийняття спільних рішень щодо усунення проблемних питань, що перешкоджають веденню підприємницької діяльності. Саме тому </w:t>
      </w:r>
      <w:r>
        <w:t xml:space="preserve">одним із </w:t>
      </w:r>
      <w:r>
        <w:t xml:space="preserve"> завдан</w:t>
      </w:r>
      <w:r>
        <w:t xml:space="preserve">ь</w:t>
      </w:r>
      <w:r>
        <w:t xml:space="preserve"> </w:t>
      </w:r>
      <w:r>
        <w:t xml:space="preserve">К</w:t>
      </w:r>
      <w:r>
        <w:t xml:space="preserve">омунального підприємства „Агенція </w:t>
      </w:r>
      <w:r>
        <w:t xml:space="preserve">регіонального </w:t>
      </w:r>
      <w:r>
        <w:t xml:space="preserve">розвитку </w:t>
      </w:r>
      <w:r>
        <w:t xml:space="preserve">Менщини</w:t>
      </w:r>
      <w:r>
        <w:t xml:space="preserve">“ </w:t>
      </w:r>
      <w:r>
        <w:t xml:space="preserve">Менської міської ради </w:t>
      </w:r>
      <w:r>
        <w:t xml:space="preserve">є ініціація, підготовка та впровадження стратегічних міжнародних Проєктів із залученням інвестицій у вигляді позикових, грантових, концесійних та інших фінансових ресурсів, надання послуг для розвитку бізнесу.</w:t>
      </w:r>
      <w:r/>
    </w:p>
    <w:p>
      <w:pPr>
        <w:pStyle w:val="665"/>
        <w:framePr w:h="14548" w:hAnchor="page" w:hRule="exact" w:vAnchor="page" w:w="9701" w:wrap="none" w:x="1672" w:y="1103"/>
        <w:pBdr/>
        <w:shd w:val="clear" w:color="auto" w:fill="auto"/>
        <w:spacing w:after="0" w:line="240" w:lineRule="auto"/>
        <w:ind w:firstLine="567"/>
        <w:jc w:val="both"/>
        <w:rPr>
          <w14:ligatures w14:val="none"/>
        </w:rPr>
      </w:pPr>
      <w:r>
        <w:t xml:space="preserve">Комунальне підприємство „Агенція </w:t>
      </w:r>
      <w:r>
        <w:t xml:space="preserve">регіонального розвитку Менщини» Менської міської ради </w:t>
      </w:r>
      <w:r>
        <w:t xml:space="preserve"> проводить свою статутну діяльність, зокрема в частині реалізації </w:t>
      </w:r>
      <w:r>
        <w:t xml:space="preserve">проекту МФК з реновації комунальних</w:t>
      </w:r>
      <w:r>
        <w:t xml:space="preserve"> будівель для поселення ВПО в рамках Грантового договору між Комунальним підприємством «Агенція регіонального розвитку Менщини» Менської міської ради, Менською міською радою, Виконавчим комітетом Менської міської ради та Міжнародною фінансовою корпорацією.</w:t>
      </w:r>
      <w:r/>
    </w:p>
    <w:p>
      <w:pPr>
        <w:pStyle w:val="665"/>
        <w:framePr w:h="14548" w:hAnchor="page" w:hRule="exact" w:vAnchor="page" w:w="9701" w:wrap="none" w:x="1672" w:y="1103"/>
        <w:pBdr/>
        <w:shd w:val="clear" w:color="auto" w:fill="auto"/>
        <w:spacing w:after="0" w:line="240" w:lineRule="auto"/>
        <w:ind w:firstLine="567"/>
        <w:jc w:val="both"/>
        <w:rPr>
          <w14:ligatures w14:val="none"/>
        </w:rPr>
      </w:pPr>
      <w:r>
        <w:t xml:space="preserve">При відсутності вільних обігових коштів за комунальним підприємством щомісяця з наростаючим підсумком накопичується заборгованість </w:t>
      </w:r>
      <w:r>
        <w:t xml:space="preserve">із заробітної плати.</w:t>
      </w:r>
      <w:r/>
    </w:p>
    <w:p>
      <w:pPr>
        <w:pStyle w:val="665"/>
        <w:framePr w:h="14548" w:hAnchor="page" w:hRule="exact" w:vAnchor="page" w:w="9701" w:wrap="none" w:x="1672" w:y="1103"/>
        <w:pBdr/>
        <w:shd w:val="clear" w:color="auto" w:fill="auto"/>
        <w:spacing w:after="0" w:line="240" w:lineRule="auto"/>
        <w:ind w:firstLine="567"/>
        <w:jc w:val="both"/>
        <w:rPr/>
      </w:pPr>
      <w:r>
        <w:t xml:space="preserve">Окрім того реалізація проекту вимагає залучення кваліфікованого інженера.      За рахунок виділення коштів на оплату праці з’явиться можливість прийняти на роботу спеціа</w:t>
      </w:r>
      <w:r>
        <w:t xml:space="preserve">ліста з належним рівнем професіоналізму та успішно завершити реалізувати </w:t>
      </w:r>
      <w:r>
        <w:t xml:space="preserve">проєкт і відзвітуватись по його заходах згідно вимог Грантової угоди.</w:t>
      </w:r>
      <w:r/>
    </w:p>
    <w:p>
      <w:pPr>
        <w:pStyle w:val="665"/>
        <w:framePr w:h="14548" w:hAnchor="page" w:hRule="exact" w:vAnchor="page" w:w="9701" w:wrap="none" w:x="1672" w:y="1103"/>
        <w:pBdr/>
        <w:shd w:val="clear" w:color="auto" w:fill="auto"/>
        <w:spacing w:after="0"/>
        <w:ind w:firstLine="600"/>
        <w:jc w:val="both"/>
        <w:rPr/>
      </w:pPr>
      <w:r/>
      <w:r/>
    </w:p>
    <w:p>
      <w:pPr>
        <w:pStyle w:val="632"/>
        <w:pBdr/>
        <w:spacing/>
        <w:ind/>
        <w:rPr>
          <w:sz w:val="2"/>
          <w:szCs w:val="2"/>
        </w:rPr>
        <w:sectPr>
          <w:footnotePr/>
          <w:endnotePr/>
          <w:type w:val="nextPage"/>
          <w:pgSz w:h="16840" w:orient="portrait" w:w="11900"/>
          <w:pgMar w:top="360" w:right="360" w:bottom="360" w:left="360" w:header="0" w:footer="3" w:gutter="0"/>
          <w:cols w:num="1" w:sep="0" w:space="720" w:equalWidth="1"/>
        </w:sect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670"/>
        <w:framePr w:h="14941" w:hAnchor="page" w:hRule="exact" w:vAnchor="page" w:w="9706" w:wrap="none" w:x="1670" w:y="1108"/>
        <w:numPr>
          <w:ilvl w:val="0"/>
          <w:numId w:val="1"/>
        </w:numPr>
        <w:pBdr/>
        <w:shd w:val="clear" w:color="auto" w:fill="auto"/>
        <w:tabs>
          <w:tab w:val="left" w:leader="none" w:pos="4212"/>
        </w:tabs>
        <w:spacing w:line="260" w:lineRule="exact"/>
        <w:ind w:firstLine="0" w:left="3880"/>
        <w:rPr/>
      </w:pPr>
      <w:r/>
      <w:bookmarkEnd w:id="3"/>
      <w:r/>
      <w:bookmarkStart w:id="4" w:name="bookmark3"/>
      <w:r>
        <w:t xml:space="preserve">Мета Програми</w:t>
      </w:r>
      <w:bookmarkEnd w:id="4"/>
      <w:r/>
      <w:r/>
    </w:p>
    <w:p>
      <w:pPr>
        <w:pStyle w:val="665"/>
        <w:framePr w:h="14941" w:hAnchor="page" w:hRule="exact" w:vAnchor="page" w:w="9706" w:wrap="none" w:x="1670" w:y="1108"/>
        <w:pBdr/>
        <w:shd w:val="clear" w:color="auto" w:fill="auto"/>
        <w:spacing w:after="0" w:line="240" w:lineRule="auto"/>
        <w:ind w:firstLine="567"/>
        <w:jc w:val="both"/>
        <w:rPr/>
      </w:pPr>
      <w:r>
        <w:t xml:space="preserve">Метою Програми є створення належних умов для забезпечення сталого розвитку основних </w:t>
      </w:r>
      <w:r>
        <w:t xml:space="preserve">галузей </w:t>
      </w:r>
      <w:r>
        <w:t xml:space="preserve">економіки громади шляхом на</w:t>
      </w:r>
      <w:r>
        <w:t xml:space="preserve">дання інформаційно- довідкових послуг суб’єктам малого та середнього бізнесу; консультування з питань комерційної діяльності; підготовки інвестиційних проєктів, техніко- економічних обґрунтувань, бізнес-планів для залучення фінансування з Державного фонду </w:t>
      </w:r>
      <w:r>
        <w:t xml:space="preserve">регіонального розвитку, програм міжнародної технічної допомоги та інших джерел; організації семінарів, лекцій, проведення навчальних програм з питань підприємництва; послуг з організації і проведення виставок, презентацій місцевого економічного потенціалу.</w:t>
      </w:r>
      <w:r/>
    </w:p>
    <w:p>
      <w:pPr>
        <w:pStyle w:val="665"/>
        <w:framePr w:h="14941" w:hAnchor="page" w:hRule="exact" w:vAnchor="page" w:w="9706" w:wrap="none" w:x="1670" w:y="1108"/>
        <w:pBdr/>
        <w:shd w:val="clear" w:color="auto" w:fill="auto"/>
        <w:spacing w:after="0" w:line="240" w:lineRule="auto"/>
        <w:ind w:firstLine="567"/>
        <w:jc w:val="both"/>
        <w:rPr/>
      </w:pPr>
      <w:r>
        <w:t xml:space="preserve">Одним із таких є</w:t>
      </w:r>
      <w:r>
        <w:t xml:space="preserve"> проект </w:t>
      </w:r>
      <w:r>
        <w:rPr>
          <w:sz w:val="28"/>
          <w:szCs w:val="28"/>
        </w:rPr>
        <w:t xml:space="preserve">МФК з реновації комунальних будівель для </w:t>
      </w:r>
      <w:r>
        <w:t xml:space="preserve">поселення</w:t>
      </w:r>
      <w:r>
        <w:t xml:space="preserve"> </w:t>
      </w:r>
      <w:r>
        <w:rPr>
          <w:sz w:val="28"/>
          <w:szCs w:val="28"/>
        </w:rPr>
        <w:t xml:space="preserve">ВПО в рамках Грантового договору між Комунальним підприємством «Агенція регіонального розвитку Менщини» Менської міської ради, Менською міською радою, Виконавчим комітетом Менської міської ради та Міжнародною фінансовою корпорацією</w:t>
      </w:r>
      <w:r>
        <w:rPr>
          <w:sz w:val="28"/>
          <w:szCs w:val="28"/>
        </w:rPr>
        <w:t xml:space="preserve">.</w:t>
      </w:r>
      <w:r/>
    </w:p>
    <w:p>
      <w:pPr>
        <w:pStyle w:val="670"/>
        <w:framePr w:h="14941" w:hAnchor="page" w:hRule="exact" w:vAnchor="page" w:w="9706" w:wrap="none" w:x="1670" w:y="1108"/>
        <w:numPr>
          <w:ilvl w:val="0"/>
          <w:numId w:val="1"/>
        </w:numPr>
        <w:pBdr/>
        <w:shd w:val="clear" w:color="auto" w:fill="auto"/>
        <w:tabs>
          <w:tab w:val="left" w:leader="none" w:pos="327"/>
        </w:tabs>
        <w:spacing/>
        <w:ind w:left="1480"/>
        <w:jc w:val="center"/>
        <w:rPr>
          <w:color w:val="000000"/>
        </w:rPr>
      </w:pPr>
      <w:r/>
      <w:bookmarkStart w:id="5" w:name="bookmark4"/>
      <w:r>
        <w:rPr>
          <w:color w:val="000000"/>
        </w:rPr>
        <w:t xml:space="preserve">Обгрунтування шляхів і засобів розв’язання проблеми, обсягів та джерел фінансування, строки та етапи виконання Програми</w:t>
      </w:r>
      <w:bookmarkEnd w:id="5"/>
      <w:r>
        <w:rPr>
          <w:color w:val="000000"/>
        </w:rPr>
      </w:r>
      <w:r>
        <w:rPr>
          <w:color w:val="000000"/>
        </w:rPr>
      </w:r>
    </w:p>
    <w:p>
      <w:pPr>
        <w:pStyle w:val="665"/>
        <w:framePr w:h="14941" w:hAnchor="page" w:hRule="exact" w:vAnchor="page" w:w="9706" w:wrap="none" w:x="1670" w:y="1108"/>
        <w:pBdr/>
        <w:shd w:val="clear" w:color="auto" w:fill="auto"/>
        <w:spacing w:after="0" w:line="240" w:lineRule="auto"/>
        <w:ind w:firstLine="567"/>
        <w:jc w:val="both"/>
        <w:rPr>
          <w14:ligatures w14:val="none"/>
        </w:rPr>
      </w:pPr>
      <w:r>
        <w:t xml:space="preserve">Власних коштів </w:t>
      </w:r>
      <w:r>
        <w:t xml:space="preserve">комунальн</w:t>
      </w:r>
      <w:r>
        <w:t xml:space="preserve">ого</w:t>
      </w:r>
      <w:r>
        <w:t xml:space="preserve"> підприємств</w:t>
      </w:r>
      <w:r>
        <w:t xml:space="preserve">а</w:t>
      </w:r>
      <w:r>
        <w:t xml:space="preserve"> не</w:t>
      </w:r>
      <w:r>
        <w:t xml:space="preserve">достатньо для належного виконання повноважень щодо економічного розвитку громади та реалізації грантових проектів</w:t>
      </w:r>
      <w:r>
        <w:t xml:space="preserve">, </w:t>
      </w:r>
      <w:r>
        <w:t xml:space="preserve">тому є необхідність залучення для виконання зазначених завдань</w:t>
      </w:r>
      <w:r>
        <w:t xml:space="preserve"> кошт</w:t>
      </w:r>
      <w:r>
        <w:t xml:space="preserve">ів</w:t>
      </w:r>
      <w:r>
        <w:t xml:space="preserve"> бюджету </w:t>
      </w:r>
      <w:r>
        <w:t xml:space="preserve">Менської</w:t>
      </w:r>
      <w:r>
        <w:t xml:space="preserve"> міської територіальної громади. А отже, за</w:t>
      </w:r>
      <w:r>
        <w:t xml:space="preserve"> рахунок коштів бюджету громади планується передбачити фінансування на оплату праці працівників з нарахуваннями, оплату послуг, інших поточних видатків та видатків розвитку, які необхідно здійснювати для забезпечення виконання основних функцій підприємства</w:t>
      </w:r>
      <w:r>
        <w:t xml:space="preserve">, зокрема для реалізації </w:t>
      </w:r>
      <w:r>
        <w:t xml:space="preserve">проекту МФК з реновації комунальних</w:t>
      </w:r>
      <w:r>
        <w:t xml:space="preserve"> будівель для поселення ВПО в рамках Грантового договору між Комунальним підприємством «Агенція регіонального розвитку Менщини» Менської міської ради, Менською міською радою, Виконавчим комітетом Менської міської ради та Міжнародною фінансовою корпорацією.</w:t>
      </w:r>
      <w:r>
        <w:t xml:space="preserve"> </w:t>
      </w:r>
      <w:r>
        <w:t xml:space="preserve">Крім того, за умовами </w:t>
      </w:r>
      <w:r>
        <w:t xml:space="preserve">вказаного проекту </w:t>
      </w:r>
      <w:r>
        <w:t xml:space="preserve">необхідно з бюджету </w:t>
      </w:r>
      <w:r>
        <w:t xml:space="preserve">Менської</w:t>
      </w:r>
      <w:r>
        <w:t xml:space="preserve"> міської територіальної громади передбачити кошти на оплату заробітної плати та нарахування на заробітну плату (ЄСВ 22%) працівників групи з реалізації проєкту, а саме: </w:t>
      </w:r>
      <w:r>
        <w:t xml:space="preserve">директор, бухгалтер, інженер.</w:t>
      </w:r>
      <w:r/>
    </w:p>
    <w:p>
      <w:pPr>
        <w:pStyle w:val="665"/>
        <w:framePr w:h="14941" w:hAnchor="page" w:hRule="exact" w:vAnchor="page" w:w="9706" w:wrap="none" w:x="1670" w:y="1108"/>
        <w:pBdr/>
        <w:shd w:val="clear" w:color="auto" w:fill="auto"/>
        <w:spacing w:after="0" w:line="240" w:lineRule="auto"/>
        <w:ind w:firstLine="567"/>
        <w:jc w:val="both"/>
        <w:rPr>
          <w14:ligatures w14:val="none"/>
        </w:rPr>
      </w:pPr>
      <w:r>
        <w:t xml:space="preserve">Обсяг фінансування Програми у 2024 році за рахунок коштів бюджету </w:t>
      </w:r>
      <w:r>
        <w:t xml:space="preserve">Менської</w:t>
      </w:r>
      <w:r>
        <w:t xml:space="preserve"> міської територіальної громади складе </w:t>
      </w:r>
      <w:r>
        <w:t xml:space="preserve">267340,00 грн.</w:t>
      </w:r>
      <w:r/>
    </w:p>
    <w:p>
      <w:pPr>
        <w:pStyle w:val="665"/>
        <w:framePr w:h="14941" w:hAnchor="page" w:hRule="exact" w:vAnchor="page" w:w="9706" w:wrap="none" w:x="1670" w:y="1108"/>
        <w:pBdr/>
        <w:shd w:val="clear" w:color="auto" w:fill="auto"/>
        <w:spacing w:after="0" w:line="240" w:lineRule="auto"/>
        <w:ind w:firstLine="567"/>
        <w:jc w:val="both"/>
        <w:rPr/>
      </w:pPr>
      <w:r>
        <w:t xml:space="preserve">Виконан</w:t>
      </w:r>
      <w:r>
        <w:t xml:space="preserve">ня заходів Програми передбачається упродовж 2024 року.</w:t>
      </w:r>
      <w:r/>
    </w:p>
    <w:p>
      <w:pPr>
        <w:pStyle w:val="665"/>
        <w:framePr w:h="14941" w:hAnchor="page" w:hRule="exact" w:vAnchor="page" w:w="9706" w:wrap="none" w:x="1670" w:y="1108"/>
        <w:pBdr/>
        <w:shd w:val="clear" w:color="auto" w:fill="auto"/>
        <w:spacing w:after="0" w:line="240" w:lineRule="auto"/>
        <w:ind w:firstLine="709"/>
        <w:jc w:val="both"/>
        <w:rPr/>
      </w:pPr>
      <w:r/>
      <w:r/>
    </w:p>
    <w:p>
      <w:pPr>
        <w:pStyle w:val="665"/>
        <w:framePr w:h="14941" w:hAnchor="page" w:hRule="exact" w:vAnchor="page" w:w="9706" w:wrap="none" w:x="1670" w:y="1108"/>
        <w:pBdr/>
        <w:shd w:val="clear" w:color="auto" w:fill="auto"/>
        <w:spacing w:after="0" w:line="240" w:lineRule="auto"/>
        <w:ind w:firstLine="709"/>
        <w:jc w:val="both"/>
        <w:rPr>
          <w:sz w:val="2"/>
          <w:szCs w:val="2"/>
        </w:rPr>
        <w:sectPr>
          <w:footnotePr/>
          <w:endnotePr/>
          <w:type w:val="nextPage"/>
          <w:pgSz w:h="16840" w:orient="portrait" w:w="11900"/>
          <w:pgMar w:top="360" w:right="360" w:bottom="360" w:left="360" w:header="0" w:footer="3" w:gutter="0"/>
          <w:cols w:num="1" w:sep="0" w:space="720" w:equalWidth="1"/>
        </w:sectPr>
      </w:pPr>
      <w:r>
        <w:t xml:space="preserve"> 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670"/>
        <w:framePr w:h="11653" w:hAnchor="page" w:hRule="exact" w:vAnchor="page" w:w="9701" w:wrap="none" w:x="1672" w:y="1103"/>
        <w:numPr>
          <w:ilvl w:val="0"/>
          <w:numId w:val="1"/>
        </w:numPr>
        <w:pBdr/>
        <w:shd w:val="clear" w:color="auto" w:fill="auto"/>
        <w:tabs>
          <w:tab w:val="left" w:leader="none" w:pos="951"/>
        </w:tabs>
        <w:spacing/>
        <w:ind w:firstLine="600"/>
        <w:rPr/>
      </w:pPr>
      <w:r>
        <w:t xml:space="preserve">Перелік завдань і заходів Програми та результативні показники</w:t>
      </w:r>
      <w:r/>
    </w:p>
    <w:p>
      <w:pPr>
        <w:pStyle w:val="665"/>
        <w:framePr w:h="11653" w:hAnchor="page" w:hRule="exact" w:vAnchor="page" w:w="9701" w:wrap="none" w:x="1672" w:y="1103"/>
        <w:pBdr/>
        <w:shd w:val="clear" w:color="auto" w:fill="auto"/>
        <w:spacing w:after="0" w:line="240" w:lineRule="auto"/>
        <w:ind w:firstLine="567"/>
        <w:jc w:val="both"/>
        <w:rPr>
          <w14:ligatures w14:val="none"/>
        </w:rPr>
      </w:pPr>
      <w:r>
        <w:t xml:space="preserve">Осно</w:t>
      </w:r>
      <w:r>
        <w:t xml:space="preserve">вним завданням Програми є:</w:t>
      </w:r>
      <w:r/>
    </w:p>
    <w:p>
      <w:pPr>
        <w:pStyle w:val="665"/>
        <w:framePr w:h="11653" w:hAnchor="page" w:hRule="exact" w:vAnchor="page" w:w="9701" w:wrap="none" w:x="1672" w:y="1103"/>
        <w:pBdr/>
        <w:shd w:val="clear" w:color="auto" w:fill="auto"/>
        <w:spacing w:after="0" w:line="240" w:lineRule="auto"/>
        <w:ind w:firstLine="567"/>
        <w:jc w:val="both"/>
        <w:rPr>
          <w14:ligatures w14:val="none"/>
        </w:rPr>
      </w:pPr>
      <w:r>
        <w:t xml:space="preserve">фінансування витрат на утримання персоналу </w:t>
      </w:r>
      <w:r>
        <w:t xml:space="preserve">К</w:t>
      </w:r>
      <w:r>
        <w:t xml:space="preserve">омунального підприємства „Агенція </w:t>
      </w:r>
      <w:r>
        <w:t xml:space="preserve">регіонального </w:t>
      </w:r>
      <w:r>
        <w:t xml:space="preserve">розвитку </w:t>
      </w:r>
      <w:r>
        <w:t xml:space="preserve">Менщини</w:t>
      </w:r>
      <w:r>
        <w:t xml:space="preserve">“</w:t>
      </w:r>
      <w:r>
        <w:t xml:space="preserve"> Менської міської ради</w:t>
      </w:r>
      <w:r>
        <w:t xml:space="preserve"> та придбання предметів, матеріалів тощо;</w:t>
      </w:r>
      <w:r/>
    </w:p>
    <w:p>
      <w:pPr>
        <w:pStyle w:val="665"/>
        <w:framePr w:h="11653" w:hAnchor="page" w:hRule="exact" w:vAnchor="page" w:w="9701" w:wrap="none" w:x="1672" w:y="1103"/>
        <w:pBdr/>
        <w:shd w:val="clear" w:color="auto" w:fill="auto"/>
        <w:spacing w:after="0" w:line="240" w:lineRule="auto"/>
        <w:ind w:firstLine="567"/>
        <w:jc w:val="both"/>
        <w:rPr>
          <w14:ligatures w14:val="none"/>
        </w:rPr>
      </w:pPr>
      <w:r>
        <w:t xml:space="preserve">реалізація заходів </w:t>
      </w:r>
      <w:r>
        <w:t xml:space="preserve">проекту МФК з реновації комунальних будівель для поселення</w:t>
      </w:r>
      <w:r>
        <w:t xml:space="preserve"> ВПО в рамках Грантового договору між Комунальним підприємством «Агенція регіонального розвитку Менщини» Менської міської ради, Менською міською радою, Виконавчим комітетом Менської міської ради та Міжнародною фінансовою корпорацією</w:t>
      </w:r>
      <w:r/>
    </w:p>
    <w:p>
      <w:pPr>
        <w:pStyle w:val="665"/>
        <w:framePr w:h="11653" w:hAnchor="page" w:hRule="exact" w:vAnchor="page" w:w="9701" w:wrap="none" w:x="1672" w:y="1103"/>
        <w:pBdr/>
        <w:shd w:val="clear" w:color="auto" w:fill="auto"/>
        <w:spacing w:after="0" w:line="240" w:lineRule="auto"/>
        <w:ind w:firstLine="567"/>
        <w:jc w:val="both"/>
        <w:rPr/>
      </w:pPr>
      <w:r>
        <w:t xml:space="preserve">В результаті успішного виконання завдань і заходів Програми будуть створені умови для залучення додаткових фінансових ресурсів для розвитку </w:t>
      </w:r>
      <w:r>
        <w:t xml:space="preserve">громади</w:t>
      </w:r>
      <w:r>
        <w:t xml:space="preserve">, реалізації проєктів і </w:t>
      </w:r>
      <w:r>
        <w:t xml:space="preserve">програм вітчизняної та міжнародної технічної допомоги у сфері місцевого економічного розвитку.</w:t>
      </w:r>
      <w:r/>
    </w:p>
    <w:p>
      <w:pPr>
        <w:pStyle w:val="670"/>
        <w:framePr w:h="11653" w:hAnchor="page" w:hRule="exact" w:vAnchor="page" w:w="9701" w:wrap="none" w:x="1672" w:y="1103"/>
        <w:numPr>
          <w:ilvl w:val="0"/>
          <w:numId w:val="1"/>
        </w:numPr>
        <w:pBdr/>
        <w:shd w:val="clear" w:color="auto" w:fill="auto"/>
        <w:tabs>
          <w:tab w:val="left" w:leader="none" w:pos="1467"/>
        </w:tabs>
        <w:spacing/>
        <w:ind w:firstLine="0" w:left="1120"/>
        <w:rPr/>
      </w:pPr>
      <w:r>
        <w:t xml:space="preserve">Координація та контроль за ходом виконання Програми</w:t>
      </w:r>
      <w:r/>
    </w:p>
    <w:p>
      <w:pPr>
        <w:pStyle w:val="665"/>
        <w:framePr w:h="11653" w:hAnchor="page" w:hRule="exact" w:vAnchor="page" w:w="9701" w:wrap="none" w:x="1672" w:y="1103"/>
        <w:pBdr/>
        <w:shd w:val="clear" w:color="auto" w:fill="auto"/>
        <w:spacing w:after="0" w:line="240" w:lineRule="auto"/>
        <w:ind w:firstLine="567"/>
        <w:jc w:val="both"/>
        <w:rPr>
          <w14:ligatures w14:val="none"/>
        </w:rPr>
      </w:pPr>
      <w:r>
        <w:t xml:space="preserve">Відп</w:t>
      </w:r>
      <w:r>
        <w:t xml:space="preserve">овідальність за виконанням заходів Програми покладено на </w:t>
      </w:r>
      <w:r>
        <w:t xml:space="preserve">К</w:t>
      </w:r>
      <w:r>
        <w:t xml:space="preserve">омунальне підприємство „Агенція </w:t>
      </w:r>
      <w:r>
        <w:t xml:space="preserve">регіонального </w:t>
      </w:r>
      <w:r>
        <w:t xml:space="preserve">розвитку </w:t>
      </w:r>
      <w:r>
        <w:t xml:space="preserve">Менщини</w:t>
      </w:r>
      <w:r>
        <w:t xml:space="preserve">“</w:t>
      </w:r>
      <w:r>
        <w:t xml:space="preserve"> Менської міської ради.</w:t>
      </w:r>
      <w:r>
        <w:t xml:space="preserve"> </w:t>
      </w:r>
      <w:r/>
    </w:p>
    <w:p>
      <w:pPr>
        <w:pStyle w:val="665"/>
        <w:framePr w:h="11653" w:hAnchor="page" w:hRule="exact" w:vAnchor="page" w:w="9701" w:wrap="none" w:x="1672" w:y="1103"/>
        <w:pBdr/>
        <w:shd w:val="clear" w:color="auto" w:fill="auto"/>
        <w:spacing w:after="0" w:line="240" w:lineRule="auto"/>
        <w:ind w:firstLine="567"/>
        <w:jc w:val="both"/>
        <w:rPr>
          <w14:ligatures w14:val="none"/>
        </w:rPr>
      </w:pPr>
      <w:r>
        <w:t xml:space="preserve">Контроль за ходом виконання Програми покладено на заступника</w:t>
      </w:r>
      <w:r>
        <w:t xml:space="preserve"> міського</w:t>
      </w:r>
      <w:r>
        <w:t xml:space="preserve"> голови з питань діяльності виконавчих органів </w:t>
      </w:r>
      <w:r>
        <w:t xml:space="preserve">ради Гаєвого С.М.</w:t>
      </w:r>
      <w:r>
        <w:t xml:space="preserve"> та </w:t>
      </w:r>
      <w:r>
        <w:t xml:space="preserve">постійну комісію </w:t>
      </w:r>
      <w:r>
        <w:t xml:space="preserve">з питань планування, фінансів, бюджету, соціально-економічного розвитку, житлово-комунального господарства та комунального майна</w:t>
      </w:r>
      <w:r>
        <w:t xml:space="preserve">.</w:t>
      </w:r>
      <w:r/>
    </w:p>
    <w:p>
      <w:pPr>
        <w:pStyle w:val="665"/>
        <w:framePr w:h="11653" w:hAnchor="page" w:hRule="exact" w:vAnchor="page" w:w="9701" w:wrap="none" w:x="1672" w:y="1103"/>
        <w:pBdr/>
        <w:shd w:val="clear" w:color="auto" w:fill="auto"/>
        <w:spacing w:after="0" w:line="240" w:lineRule="auto"/>
        <w:ind w:firstLine="567"/>
        <w:jc w:val="both"/>
        <w:rPr>
          <w14:ligatures w14:val="none"/>
        </w:rPr>
      </w:pPr>
      <w:r>
        <w:t xml:space="preserve">П</w:t>
      </w:r>
      <w:r>
        <w:t xml:space="preserve">о завершенню фінансового року, інформація про хід виконання Програми заслуховується на сесії </w:t>
      </w:r>
      <w:r>
        <w:t xml:space="preserve">Менської</w:t>
      </w:r>
      <w:r>
        <w:t xml:space="preserve"> міської ради.</w:t>
      </w:r>
      <w:r/>
    </w:p>
    <w:p>
      <w:pPr>
        <w:pStyle w:val="665"/>
        <w:framePr w:h="11653" w:hAnchor="page" w:hRule="exact" w:vAnchor="page" w:w="9701" w:wrap="none" w:x="1672" w:y="1103"/>
        <w:pBdr/>
        <w:shd w:val="clear" w:color="auto" w:fill="auto"/>
        <w:spacing w:after="0" w:line="240" w:lineRule="auto"/>
        <w:ind w:firstLine="567"/>
        <w:jc w:val="both"/>
        <w:rPr/>
      </w:pPr>
      <w:r>
        <w:t xml:space="preserve">У разі</w:t>
      </w:r>
      <w:r>
        <w:t xml:space="preserve"> потреби, Програма може бути скорегована.</w:t>
      </w:r>
      <w:r/>
    </w:p>
    <w:p>
      <w:pPr>
        <w:pStyle w:val="632"/>
        <w:pBdr/>
        <w:spacing/>
        <w:ind/>
        <w:rPr>
          <w:sz w:val="2"/>
          <w:szCs w:val="2"/>
        </w:rPr>
        <w:sectPr>
          <w:footnotePr/>
          <w:endnotePr/>
          <w:type w:val="nextPage"/>
          <w:pgSz w:h="16840" w:orient="portrait" w:w="11900"/>
          <w:pgMar w:top="360" w:right="360" w:bottom="360" w:left="360" w:header="0" w:footer="3" w:gutter="0"/>
          <w:cols w:num="1" w:sep="0" w:space="720" w:equalWidth="1"/>
        </w:sect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671"/>
        <w:framePr w:hAnchor="page" w:vAnchor="page" w:wrap="none" w:x="9621" w:y="1136"/>
        <w:pBdr/>
        <w:shd w:val="clear" w:color="auto" w:fill="auto"/>
        <w:spacing w:line="280" w:lineRule="exact"/>
        <w:ind/>
        <w:rPr/>
      </w:pPr>
      <w:r>
        <w:t xml:space="preserve">Додаток 1</w:t>
      </w:r>
      <w:r/>
    </w:p>
    <w:p>
      <w:pPr>
        <w:pStyle w:val="672"/>
        <w:framePr w:h="560" w:hAnchor="page" w:hRule="exact" w:vAnchor="page" w:w="9758" w:wrap="none" w:x="1701" w:y="1477"/>
        <w:pBdr/>
        <w:shd w:val="clear" w:color="auto" w:fill="auto"/>
        <w:spacing w:after="3" w:line="220" w:lineRule="exact"/>
        <w:ind w:left="80"/>
        <w:rPr/>
      </w:pPr>
      <w:r>
        <w:t xml:space="preserve">П А С П О Р Т</w:t>
      </w:r>
      <w:r/>
    </w:p>
    <w:p>
      <w:pPr>
        <w:pStyle w:val="672"/>
        <w:framePr w:h="560" w:hAnchor="page" w:hRule="exact" w:vAnchor="page" w:w="9758" w:wrap="none" w:x="1701" w:y="1477"/>
        <w:pBdr/>
        <w:shd w:val="clear" w:color="auto" w:fill="auto"/>
        <w:spacing w:after="0" w:line="220" w:lineRule="exact"/>
        <w:ind w:left="80"/>
        <w:rPr/>
      </w:pPr>
      <w:r>
        <w:t xml:space="preserve">Програми підтримки діяльності К</w:t>
      </w:r>
      <w:r>
        <w:t xml:space="preserve">омунального підприємства</w:t>
      </w:r>
      <w:r/>
    </w:p>
    <w:tbl>
      <w:tblPr>
        <w:tblOverlap w:val="never"/>
        <w:tblW w:w="0" w:type="auto"/>
        <w:tblInd w:w="20" w:type="dxa"/>
        <w:tblBorders/>
        <w:tblLayout w:type="fixed"/>
        <w:tblCellMar>
          <w:left w:w="10" w:type="dxa"/>
          <w:top w:w="0" w:type="dxa"/>
          <w:right w:w="10" w:type="dxa"/>
          <w:bottom w:w="0" w:type="dxa"/>
        </w:tblCellMar>
        <w:tblLook w:val="04A0" w:firstRow="1" w:lastRow="0" w:firstColumn="1" w:lastColumn="0" w:noHBand="0" w:noVBand="1"/>
      </w:tblPr>
      <w:tblGrid>
        <w:gridCol w:w="619"/>
        <w:gridCol w:w="4646"/>
        <w:gridCol w:w="4493"/>
      </w:tblGrid>
      <w:tr>
        <w:trPr>
          <w:trHeight w:val="426" w:hRule="exact"/>
        </w:trPr>
        <w:tc>
          <w:tcPr>
            <w:gridSpan w:val="2"/>
            <w:shd w:val="clear" w:color="auto" w:fill="ffffff"/>
            <w:tcBorders/>
            <w:tcW w:w="5265" w:type="dxa"/>
            <w:vAlign w:val="bottom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pBdr/>
              <w:shd w:val="clear" w:color="auto" w:fill="auto"/>
              <w:spacing w:after="0" w:line="220" w:lineRule="exact"/>
              <w:ind/>
              <w:jc w:val="right"/>
              <w:rPr/>
            </w:pPr>
            <w:r>
              <w:rPr>
                <w:rStyle w:val="658"/>
              </w:rPr>
              <w:t xml:space="preserve">„Агенція </w:t>
            </w:r>
            <w:r>
              <w:rPr>
                <w:rStyle w:val="658"/>
              </w:rPr>
              <w:t xml:space="preserve">регіонального </w:t>
            </w:r>
            <w:r>
              <w:rPr>
                <w:rStyle w:val="658"/>
              </w:rPr>
              <w:t xml:space="preserve">розвитку </w:t>
            </w:r>
            <w:r>
              <w:rPr>
                <w:rStyle w:val="658"/>
              </w:rPr>
              <w:t xml:space="preserve"> Менщини  </w:t>
            </w:r>
            <w:r/>
          </w:p>
        </w:tc>
        <w:tc>
          <w:tcPr>
            <w:shd w:val="clear" w:color="auto" w:fill="ffffff"/>
            <w:tcBorders>
              <w:left w:val="single" w:color="auto" w:sz="4" w:space="0"/>
            </w:tcBorders>
            <w:tcW w:w="4493" w:type="dxa"/>
            <w:vAlign w:val="bottom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pBdr/>
              <w:shd w:val="clear" w:color="auto" w:fill="auto"/>
              <w:spacing w:after="0" w:line="220" w:lineRule="exact"/>
              <w:ind/>
              <w:jc w:val="left"/>
              <w:rPr/>
            </w:pPr>
            <w:r>
              <w:rPr>
                <w:rStyle w:val="658"/>
              </w:rPr>
              <w:t xml:space="preserve">“ </w:t>
            </w:r>
            <w:r>
              <w:rPr>
                <w:rStyle w:val="658"/>
              </w:rPr>
              <w:t xml:space="preserve">Менської міської ради </w:t>
            </w:r>
            <w:r>
              <w:rPr>
                <w:rStyle w:val="658"/>
              </w:rPr>
              <w:t xml:space="preserve">на </w:t>
            </w:r>
            <w:r>
              <w:rPr>
                <w:rStyle w:val="658"/>
              </w:rPr>
              <w:t xml:space="preserve">2024 рік</w:t>
            </w:r>
            <w:r/>
          </w:p>
        </w:tc>
      </w:tr>
      <w:tr>
        <w:trPr>
          <w:trHeight w:val="470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619" w:type="dxa"/>
            <w:vAlign w:val="center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jc w:val="left"/>
              <w:rPr>
                <w:sz w:val="28"/>
                <w:szCs w:val="28"/>
              </w:rPr>
            </w:pPr>
            <w:r>
              <w:rPr>
                <w:rStyle w:val="657"/>
                <w:sz w:val="28"/>
                <w:szCs w:val="28"/>
              </w:rPr>
              <w:t xml:space="preserve">1.</w:t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4646" w:type="dxa"/>
            <w:vAlign w:val="top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jc w:val="left"/>
              <w:rPr>
                <w:sz w:val="28"/>
                <w:szCs w:val="28"/>
              </w:rPr>
            </w:pPr>
            <w:r>
              <w:rPr>
                <w:rStyle w:val="657"/>
                <w:sz w:val="28"/>
                <w:szCs w:val="28"/>
              </w:rPr>
              <w:t xml:space="preserve">Ініціатор розроблення програми</w:t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93" w:type="dxa"/>
            <w:vAlign w:val="bottom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rPr>
                <w:sz w:val="28"/>
                <w:szCs w:val="28"/>
              </w:rPr>
            </w:pPr>
            <w:r>
              <w:rPr>
                <w:rStyle w:val="657"/>
                <w:sz w:val="28"/>
                <w:szCs w:val="28"/>
              </w:rPr>
              <w:t xml:space="preserve">Комунальне підприємство „Агенція</w:t>
            </w:r>
            <w:r>
              <w:rPr>
                <w:rStyle w:val="657"/>
                <w:sz w:val="28"/>
                <w:szCs w:val="28"/>
              </w:rPr>
              <w:t xml:space="preserve"> регіонального</w:t>
            </w:r>
            <w:r>
              <w:rPr>
                <w:rStyle w:val="657"/>
                <w:sz w:val="28"/>
                <w:szCs w:val="28"/>
              </w:rPr>
              <w:t xml:space="preserve"> розвитку </w:t>
            </w:r>
            <w:r>
              <w:rPr>
                <w:rStyle w:val="657"/>
                <w:sz w:val="28"/>
                <w:szCs w:val="28"/>
              </w:rPr>
              <w:t xml:space="preserve">Менщини</w:t>
            </w:r>
            <w:r>
              <w:rPr>
                <w:rStyle w:val="657"/>
                <w:sz w:val="28"/>
                <w:szCs w:val="28"/>
              </w:rPr>
              <w:t xml:space="preserve">“</w:t>
            </w:r>
            <w:r>
              <w:rPr>
                <w:rStyle w:val="657"/>
                <w:sz w:val="28"/>
                <w:szCs w:val="28"/>
              </w:rPr>
              <w:t xml:space="preserve"> Менської міської ради</w:t>
            </w:r>
            <w:r>
              <w:rPr>
                <w:sz w:val="28"/>
                <w:szCs w:val="28"/>
              </w:rPr>
            </w:r>
          </w:p>
        </w:tc>
      </w:tr>
      <w:tr>
        <w:trPr>
          <w:trHeight w:val="1101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619" w:type="dxa"/>
            <w:vAlign w:val="center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jc w:val="left"/>
              <w:rPr>
                <w:sz w:val="28"/>
                <w:szCs w:val="28"/>
              </w:rPr>
            </w:pPr>
            <w:r>
              <w:rPr>
                <w:rStyle w:val="657"/>
                <w:sz w:val="28"/>
                <w:szCs w:val="28"/>
              </w:rPr>
              <w:t xml:space="preserve">2.</w:t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4646" w:type="dxa"/>
            <w:vAlign w:val="bottom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jc w:val="left"/>
              <w:rPr>
                <w:sz w:val="28"/>
                <w:szCs w:val="28"/>
              </w:rPr>
            </w:pPr>
            <w:r>
              <w:rPr>
                <w:rStyle w:val="657"/>
                <w:sz w:val="28"/>
                <w:szCs w:val="28"/>
              </w:rPr>
              <w:t xml:space="preserve">Нормативні акти</w:t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93" w:type="dxa"/>
            <w:vAlign w:val="bottom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Конституці</w:t>
            </w:r>
            <w:r>
              <w:rPr>
                <w:sz w:val="28"/>
                <w:szCs w:val="28"/>
              </w:rPr>
              <w:t xml:space="preserve">я</w:t>
            </w:r>
            <w:r>
              <w:rPr>
                <w:sz w:val="28"/>
                <w:szCs w:val="28"/>
              </w:rPr>
              <w:t xml:space="preserve"> України, Цивільн</w:t>
            </w:r>
            <w:r>
              <w:rPr>
                <w:sz w:val="28"/>
                <w:szCs w:val="28"/>
              </w:rPr>
              <w:t xml:space="preserve">ий кодекс</w:t>
            </w:r>
            <w:r>
              <w:rPr>
                <w:sz w:val="28"/>
                <w:szCs w:val="28"/>
              </w:rPr>
              <w:t xml:space="preserve"> України, Господарськ</w:t>
            </w:r>
            <w:r>
              <w:rPr>
                <w:sz w:val="28"/>
                <w:szCs w:val="28"/>
              </w:rPr>
              <w:t xml:space="preserve">ий кодекс</w:t>
            </w:r>
            <w:r>
              <w:rPr>
                <w:sz w:val="28"/>
                <w:szCs w:val="28"/>
              </w:rPr>
              <w:t xml:space="preserve"> України, Бюджетн</w:t>
            </w:r>
            <w:r>
              <w:rPr>
                <w:sz w:val="28"/>
                <w:szCs w:val="28"/>
              </w:rPr>
              <w:t xml:space="preserve">ий</w:t>
            </w:r>
            <w:r>
              <w:rPr>
                <w:sz w:val="28"/>
                <w:szCs w:val="28"/>
              </w:rPr>
              <w:t xml:space="preserve"> кодекс України</w:t>
            </w:r>
            <w:r>
              <w:rPr>
                <w:rStyle w:val="65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</w:r>
          </w:p>
        </w:tc>
      </w:tr>
      <w:tr>
        <w:trPr>
          <w:trHeight w:val="564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619" w:type="dxa"/>
            <w:vAlign w:val="center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jc w:val="left"/>
              <w:rPr>
                <w:sz w:val="28"/>
                <w:szCs w:val="28"/>
              </w:rPr>
            </w:pPr>
            <w:r>
              <w:rPr>
                <w:rStyle w:val="657"/>
                <w:sz w:val="28"/>
                <w:szCs w:val="28"/>
              </w:rPr>
              <w:t xml:space="preserve">3.</w:t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4646" w:type="dxa"/>
            <w:vAlign w:val="top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jc w:val="left"/>
              <w:rPr>
                <w:sz w:val="28"/>
                <w:szCs w:val="28"/>
              </w:rPr>
            </w:pPr>
            <w:r>
              <w:rPr>
                <w:rStyle w:val="657"/>
                <w:sz w:val="28"/>
                <w:szCs w:val="28"/>
              </w:rPr>
              <w:t xml:space="preserve">Розробник програми</w:t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93" w:type="dxa"/>
            <w:vAlign w:val="bottom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rPr>
                <w:sz w:val="28"/>
                <w:szCs w:val="28"/>
              </w:rPr>
            </w:pPr>
            <w:r>
              <w:rPr>
                <w:rStyle w:val="657"/>
                <w:sz w:val="28"/>
                <w:szCs w:val="28"/>
              </w:rPr>
              <w:t xml:space="preserve">Комунальне підприємство „Агенція регіонального розвитку Менщини“ Менської міської ради </w:t>
            </w:r>
            <w:r>
              <w:rPr>
                <w:sz w:val="28"/>
                <w:szCs w:val="28"/>
              </w:rPr>
            </w:r>
          </w:p>
        </w:tc>
      </w:tr>
      <w:tr>
        <w:trPr>
          <w:trHeight w:val="470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619" w:type="dxa"/>
            <w:vAlign w:val="center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jc w:val="left"/>
              <w:rPr>
                <w:sz w:val="28"/>
                <w:szCs w:val="28"/>
              </w:rPr>
            </w:pPr>
            <w:r>
              <w:rPr>
                <w:rStyle w:val="657"/>
                <w:sz w:val="28"/>
                <w:szCs w:val="28"/>
              </w:rPr>
              <w:t xml:space="preserve">4.</w:t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4646" w:type="dxa"/>
            <w:vAlign w:val="top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jc w:val="left"/>
              <w:rPr>
                <w:sz w:val="28"/>
                <w:szCs w:val="28"/>
              </w:rPr>
            </w:pPr>
            <w:r>
              <w:rPr>
                <w:rStyle w:val="657"/>
                <w:sz w:val="28"/>
                <w:szCs w:val="28"/>
              </w:rPr>
              <w:t xml:space="preserve">Співрозробник програми</w:t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93" w:type="dxa"/>
            <w:vAlign w:val="bottom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rPr>
                <w:sz w:val="28"/>
                <w:szCs w:val="28"/>
              </w:rPr>
            </w:pPr>
            <w:r>
              <w:rPr>
                <w:rStyle w:val="657"/>
                <w:sz w:val="28"/>
                <w:szCs w:val="28"/>
              </w:rPr>
              <w:t xml:space="preserve">Менська міська рада</w:t>
            </w:r>
            <w:r>
              <w:rPr>
                <w:sz w:val="28"/>
                <w:szCs w:val="28"/>
              </w:rPr>
            </w:r>
          </w:p>
        </w:tc>
      </w:tr>
      <w:tr>
        <w:trPr>
          <w:trHeight w:val="470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619" w:type="dxa"/>
            <w:vAlign w:val="center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jc w:val="left"/>
              <w:rPr>
                <w:sz w:val="28"/>
                <w:szCs w:val="28"/>
              </w:rPr>
            </w:pPr>
            <w:r>
              <w:rPr>
                <w:rStyle w:val="657"/>
                <w:sz w:val="28"/>
                <w:szCs w:val="28"/>
              </w:rPr>
              <w:t xml:space="preserve">5.</w:t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4646" w:type="dxa"/>
            <w:vAlign w:val="top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jc w:val="left"/>
              <w:rPr>
                <w:sz w:val="28"/>
                <w:szCs w:val="28"/>
              </w:rPr>
            </w:pPr>
            <w:r>
              <w:rPr>
                <w:rStyle w:val="657"/>
                <w:sz w:val="28"/>
                <w:szCs w:val="28"/>
              </w:rPr>
              <w:t xml:space="preserve">Відповідальний виконавець програми</w:t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93" w:type="dxa"/>
            <w:vAlign w:val="bottom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rPr>
                <w:sz w:val="28"/>
                <w:szCs w:val="28"/>
              </w:rPr>
            </w:pPr>
            <w:r>
              <w:rPr>
                <w:rStyle w:val="657"/>
                <w:sz w:val="28"/>
                <w:szCs w:val="28"/>
              </w:rPr>
              <w:t xml:space="preserve">Комунальне підприємство „Агенція регіонального розвитку Менщини“ Менської міської ради</w:t>
            </w:r>
            <w:r>
              <w:rPr>
                <w:sz w:val="28"/>
                <w:szCs w:val="28"/>
              </w:rPr>
            </w:r>
          </w:p>
        </w:tc>
      </w:tr>
      <w:tr>
        <w:trPr>
          <w:trHeight w:val="470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619" w:type="dxa"/>
            <w:vAlign w:val="center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jc w:val="left"/>
              <w:rPr>
                <w:sz w:val="28"/>
                <w:szCs w:val="28"/>
              </w:rPr>
            </w:pPr>
            <w:r>
              <w:rPr>
                <w:rStyle w:val="657"/>
                <w:sz w:val="28"/>
                <w:szCs w:val="28"/>
              </w:rPr>
              <w:t xml:space="preserve">6.</w:t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4646" w:type="dxa"/>
            <w:vAlign w:val="top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jc w:val="left"/>
              <w:rPr>
                <w:sz w:val="28"/>
                <w:szCs w:val="28"/>
              </w:rPr>
            </w:pPr>
            <w:r>
              <w:rPr>
                <w:rStyle w:val="657"/>
                <w:sz w:val="28"/>
                <w:szCs w:val="28"/>
              </w:rPr>
              <w:t xml:space="preserve">Учасник програми</w:t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93" w:type="dxa"/>
            <w:vAlign w:val="bottom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rPr>
                <w:sz w:val="28"/>
                <w:szCs w:val="28"/>
              </w:rPr>
            </w:pPr>
            <w:r>
              <w:rPr>
                <w:rStyle w:val="657"/>
                <w:sz w:val="28"/>
                <w:szCs w:val="28"/>
              </w:rPr>
              <w:t xml:space="preserve">Менська міська рада</w:t>
            </w:r>
            <w:r>
              <w:rPr>
                <w:sz w:val="28"/>
                <w:szCs w:val="28"/>
              </w:rPr>
            </w:r>
          </w:p>
        </w:tc>
      </w:tr>
      <w:tr>
        <w:trPr>
          <w:trHeight w:val="470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619" w:type="dxa"/>
            <w:vAlign w:val="center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jc w:val="left"/>
              <w:rPr>
                <w:sz w:val="28"/>
                <w:szCs w:val="28"/>
              </w:rPr>
            </w:pPr>
            <w:r>
              <w:rPr>
                <w:rStyle w:val="657"/>
                <w:sz w:val="28"/>
                <w:szCs w:val="28"/>
              </w:rPr>
              <w:t xml:space="preserve">7.</w:t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4646" w:type="dxa"/>
            <w:vAlign w:val="top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jc w:val="left"/>
              <w:rPr>
                <w:sz w:val="28"/>
                <w:szCs w:val="28"/>
              </w:rPr>
            </w:pPr>
            <w:r>
              <w:rPr>
                <w:rStyle w:val="657"/>
                <w:sz w:val="28"/>
                <w:szCs w:val="28"/>
              </w:rPr>
              <w:t xml:space="preserve">Термін реалізації програми</w:t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93" w:type="dxa"/>
            <w:vAlign w:val="center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rPr>
                <w:sz w:val="28"/>
                <w:szCs w:val="28"/>
              </w:rPr>
            </w:pPr>
            <w:r>
              <w:rPr>
                <w:rStyle w:val="657"/>
                <w:sz w:val="28"/>
                <w:szCs w:val="28"/>
              </w:rPr>
              <w:t xml:space="preserve">2024 р</w:t>
            </w:r>
            <w:r>
              <w:rPr>
                <w:rStyle w:val="657"/>
                <w:sz w:val="28"/>
                <w:szCs w:val="28"/>
              </w:rPr>
              <w:t xml:space="preserve">ік</w:t>
            </w:r>
            <w:r>
              <w:rPr>
                <w:sz w:val="28"/>
                <w:szCs w:val="28"/>
              </w:rPr>
            </w:r>
          </w:p>
        </w:tc>
      </w:tr>
      <w:tr>
        <w:trPr>
          <w:trHeight w:val="466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619" w:type="dxa"/>
            <w:vAlign w:val="center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jc w:val="left"/>
              <w:rPr>
                <w:sz w:val="28"/>
                <w:szCs w:val="28"/>
              </w:rPr>
            </w:pPr>
            <w:r>
              <w:rPr>
                <w:rStyle w:val="657"/>
                <w:sz w:val="28"/>
                <w:szCs w:val="28"/>
              </w:rPr>
              <w:t xml:space="preserve">8.</w:t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4646" w:type="dxa"/>
            <w:vAlign w:val="bottom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jc w:val="left"/>
              <w:rPr>
                <w:sz w:val="28"/>
                <w:szCs w:val="28"/>
              </w:rPr>
            </w:pPr>
            <w:r>
              <w:rPr>
                <w:rStyle w:val="657"/>
                <w:sz w:val="28"/>
                <w:szCs w:val="28"/>
              </w:rPr>
              <w:t xml:space="preserve">Перелік місцевих бюджетів, які беруть участь у виконанні програми </w:t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93" w:type="dxa"/>
            <w:vAlign w:val="top"/>
            <w:textDirection w:val="lrTb"/>
            <w:noWrap w:val="false"/>
          </w:tcPr>
          <w:p>
            <w:pPr>
              <w:pStyle w:val="632"/>
              <w:framePr w:h="10927" w:hAnchor="page" w:hRule="atLeast" w:vAnchor="page" w:w="9758" w:wrap="none" w:x="1701" w:y="2037"/>
              <w:suppressLineNumbers w:val="false"/>
              <w:pBdr/>
              <w:spacing w:line="240" w:lineRule="auto"/>
              <w:ind w:right="113" w:lef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 Менської міської територіальної громади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>
          <w:trHeight w:val="701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619" w:type="dxa"/>
            <w:vAlign w:val="top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jc w:val="left"/>
              <w:rPr>
                <w:sz w:val="28"/>
                <w:szCs w:val="28"/>
              </w:rPr>
            </w:pPr>
            <w:r>
              <w:rPr>
                <w:rStyle w:val="657"/>
                <w:sz w:val="28"/>
                <w:szCs w:val="28"/>
              </w:rPr>
              <w:t xml:space="preserve">9.</w:t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4646" w:type="dxa"/>
            <w:vAlign w:val="bottom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jc w:val="left"/>
              <w:rPr>
                <w:sz w:val="28"/>
                <w:szCs w:val="28"/>
              </w:rPr>
            </w:pPr>
            <w:r>
              <w:rPr>
                <w:rStyle w:val="657"/>
                <w:sz w:val="28"/>
                <w:szCs w:val="28"/>
              </w:rPr>
              <w:t xml:space="preserve">Загальний обсяг фінансових ресурсів, необхідних для реалізації програми, всього, у тому числі :</w:t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93" w:type="dxa"/>
            <w:vAlign w:val="center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rPr>
                <w:sz w:val="28"/>
                <w:szCs w:val="28"/>
              </w:rPr>
            </w:pPr>
            <w:r>
              <w:rPr>
                <w:rStyle w:val="642"/>
                <w:sz w:val="28"/>
                <w:szCs w:val="28"/>
              </w:rPr>
              <w:t xml:space="preserve">267340,00</w:t>
            </w:r>
            <w:r>
              <w:rPr>
                <w:sz w:val="28"/>
                <w:szCs w:val="28"/>
              </w:rPr>
            </w:r>
          </w:p>
        </w:tc>
      </w:tr>
      <w:tr>
        <w:trPr>
          <w:trHeight w:val="240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619" w:type="dxa"/>
            <w:vAlign w:val="bottom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jc w:val="left"/>
              <w:rPr>
                <w:sz w:val="28"/>
                <w:szCs w:val="28"/>
              </w:rPr>
            </w:pPr>
            <w:r>
              <w:rPr>
                <w:rStyle w:val="657"/>
                <w:sz w:val="28"/>
                <w:szCs w:val="28"/>
              </w:rPr>
              <w:t xml:space="preserve">9.1.</w:t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4646" w:type="dxa"/>
            <w:vAlign w:val="bottom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jc w:val="left"/>
              <w:rPr>
                <w:sz w:val="28"/>
                <w:szCs w:val="28"/>
              </w:rPr>
            </w:pPr>
            <w:r>
              <w:rPr>
                <w:rStyle w:val="657"/>
                <w:sz w:val="28"/>
                <w:szCs w:val="28"/>
              </w:rPr>
              <w:t xml:space="preserve">Коштів міської ТГ</w:t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93" w:type="dxa"/>
            <w:vAlign w:val="bottom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rPr>
                <w:sz w:val="28"/>
                <w:szCs w:val="28"/>
              </w:rPr>
            </w:pPr>
            <w:r>
              <w:rPr>
                <w:rStyle w:val="642"/>
                <w:sz w:val="28"/>
                <w:szCs w:val="28"/>
              </w:rPr>
              <w:t xml:space="preserve">267340,00</w:t>
            </w:r>
            <w:r>
              <w:rPr>
                <w:sz w:val="28"/>
                <w:szCs w:val="28"/>
              </w:rPr>
            </w:r>
          </w:p>
        </w:tc>
      </w:tr>
      <w:tr>
        <w:trPr>
          <w:trHeight w:val="240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619" w:type="dxa"/>
            <w:vAlign w:val="bottom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4646" w:type="dxa"/>
            <w:vAlign w:val="bottom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93" w:type="dxa"/>
            <w:vAlign w:val="bottom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rPr>
          <w:trHeight w:val="2608"/>
        </w:trPr>
        <w:tc>
          <w:tcPr>
            <w:gridSpan w:val="3"/>
            <w:shd w:val="clear" w:color="ffffff" w:fill="ffffff"/>
            <w:tcBorders>
              <w:top w:val="single" w:color="000000" w:sz="4" w:space="0"/>
              <w:left w:val="single" w:color="000000" w:sz="4" w:space="0"/>
            </w:tcBorders>
            <w:tcW w:w="9758" w:type="dxa"/>
            <w:vAlign w:val="bottom"/>
            <w:vMerge w:val="restart"/>
            <w:textDirection w:val="lrTb"/>
            <w:noWrap w:val="false"/>
          </w:tcPr>
          <w:p>
            <w:pPr>
              <w:pStyle w:val="665"/>
              <w:framePr w:h="10927" w:hAnchor="page" w:hRule="atLeast" w:vAnchor="page" w:w="9758" w:wrap="none" w:x="1701" w:y="2037"/>
              <w:suppressLineNumbers w:val="false"/>
              <w:pBdr/>
              <w:shd w:val="clear" w:color="auto" w:fill="auto"/>
              <w:spacing w:after="0" w:line="240" w:lineRule="auto"/>
              <w:ind w:right="113" w:left="113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юридичного відділу                                            Тетяна МАРЦЕВА</w:t>
            </w:r>
            <w:r>
              <w:rPr>
                <w:sz w:val="28"/>
                <w:szCs w:val="2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footnotePr/>
      <w:endnotePr/>
      <w:type w:val="nextPage"/>
      <w:pgSz w:h="16840" w:orient="portrait" w:w="11900"/>
      <w:pgMar w:top="360" w:right="360" w:bottom="360" w:left="360" w:header="0" w:footer="3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Microsoft Sans Serif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225.%1"/>
      <w:numFmt w:val="decimal"/>
      <w:pPr>
        <w:pBdr/>
        <w:spacing/>
        <w:ind/>
      </w:pPr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19"/>
        <w:szCs w:val="19"/>
        <w:u w:val="none"/>
        <w:lang w:val="uk-UA" w:eastAsia="uk-UA" w:bidi="uk-UA"/>
      </w:rPr>
      <w:start w:val="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uk-UA" w:eastAsia="uk-UA" w:bidi="uk-UA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doNotExpandShiftReturn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Microsoft Sans Serif" w:hAnsi="Microsoft Sans Serif" w:eastAsia="Microsoft Sans Serif" w:cs="Microsoft Sans Serif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32"/>
    <w:next w:val="632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32"/>
    <w:next w:val="632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32"/>
    <w:next w:val="632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32"/>
    <w:next w:val="632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32"/>
    <w:next w:val="632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32"/>
    <w:next w:val="632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32"/>
    <w:next w:val="632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32"/>
    <w:next w:val="632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32"/>
    <w:next w:val="632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character" w:styleId="149">
    <w:name w:val="Heading 1 Char"/>
    <w:basedOn w:val="147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147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147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14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14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14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14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14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14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32"/>
    <w:next w:val="632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147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32"/>
    <w:next w:val="632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14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32"/>
    <w:next w:val="632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147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632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32"/>
    <w:next w:val="632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147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32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32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147"/>
    <w:link w:val="175"/>
    <w:uiPriority w:val="99"/>
    <w:pPr>
      <w:pBdr/>
      <w:spacing/>
      <w:ind/>
    </w:pPr>
  </w:style>
  <w:style w:type="paragraph" w:styleId="177">
    <w:name w:val="Footer"/>
    <w:basedOn w:val="632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147"/>
    <w:link w:val="177"/>
    <w:uiPriority w:val="99"/>
    <w:pPr>
      <w:pBdr/>
      <w:spacing/>
      <w:ind/>
    </w:pPr>
  </w:style>
  <w:style w:type="paragraph" w:styleId="179">
    <w:name w:val="Caption"/>
    <w:basedOn w:val="632"/>
    <w:next w:val="63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32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14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32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14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632"/>
    <w:next w:val="632"/>
    <w:uiPriority w:val="99"/>
    <w:unhideWhenUsed/>
    <w:pPr>
      <w:pBdr/>
      <w:spacing w:after="0" w:afterAutospacing="0"/>
      <w:ind/>
    </w:pPr>
  </w:style>
  <w:style w:type="paragraph" w:styleId="632" w:default="1">
    <w:name w:val="Normal"/>
    <w:next w:val="632"/>
    <w:link w:val="632"/>
    <w:pPr>
      <w:widowControl w:val="false"/>
      <w:pBdr/>
      <w:spacing/>
      <w:ind/>
    </w:pPr>
    <w:rPr>
      <w:color w:val="000000"/>
      <w:sz w:val="24"/>
      <w:szCs w:val="24"/>
      <w:lang w:val="uk-UA" w:eastAsia="uk-UA" w:bidi="uk-UA"/>
    </w:rPr>
  </w:style>
  <w:style w:type="character" w:styleId="633">
    <w:name w:val="Шрифт абзацу за замовчуванням"/>
    <w:next w:val="633"/>
    <w:link w:val="632"/>
    <w:uiPriority w:val="1"/>
    <w:semiHidden/>
    <w:unhideWhenUsed/>
    <w:pPr>
      <w:pBdr/>
      <w:spacing/>
      <w:ind/>
    </w:pPr>
  </w:style>
  <w:style w:type="table" w:styleId="634">
    <w:name w:val="Звичайна таблиця"/>
    <w:next w:val="634"/>
    <w:link w:val="632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35">
    <w:name w:val="Немає списку"/>
    <w:next w:val="635"/>
    <w:link w:val="632"/>
    <w:uiPriority w:val="99"/>
    <w:semiHidden/>
    <w:unhideWhenUsed/>
    <w:pPr>
      <w:pBdr/>
      <w:spacing/>
      <w:ind/>
    </w:pPr>
  </w:style>
  <w:style w:type="character" w:styleId="636">
    <w:name w:val="Гіперпосилання"/>
    <w:next w:val="636"/>
    <w:link w:val="632"/>
    <w:pPr>
      <w:pBdr/>
      <w:spacing/>
      <w:ind/>
    </w:pPr>
    <w:rPr>
      <w:color w:val="0066cc"/>
      <w:u w:val="single"/>
    </w:rPr>
  </w:style>
  <w:style w:type="character" w:styleId="637">
    <w:name w:val="Body text (3)_"/>
    <w:next w:val="637"/>
    <w:link w:val="663"/>
    <w:pPr>
      <w:pBdr/>
      <w:spacing/>
      <w:ind/>
    </w:pPr>
    <w:rPr>
      <w:rFonts w:ascii="Times New Roman" w:hAnsi="Times New Roman" w:eastAsia="Times New Roman" w:cs="Times New Roman"/>
      <w:b/>
      <w:bCs/>
      <w:sz w:val="26"/>
      <w:szCs w:val="26"/>
      <w:u w:val="none"/>
    </w:rPr>
  </w:style>
  <w:style w:type="character" w:styleId="638">
    <w:name w:val="Heading #1_"/>
    <w:next w:val="638"/>
    <w:link w:val="664"/>
    <w:pPr>
      <w:pBdr/>
      <w:spacing/>
      <w:ind/>
    </w:pPr>
    <w:rPr>
      <w:rFonts w:ascii="Times New Roman" w:hAnsi="Times New Roman" w:eastAsia="Times New Roman" w:cs="Times New Roman"/>
      <w:b/>
      <w:bCs/>
      <w:spacing w:val="20"/>
      <w:sz w:val="34"/>
      <w:szCs w:val="34"/>
      <w:u w:val="none"/>
    </w:rPr>
  </w:style>
  <w:style w:type="character" w:styleId="639">
    <w:name w:val="Body text (2)_"/>
    <w:next w:val="639"/>
    <w:link w:val="665"/>
    <w:pPr>
      <w:pBdr/>
      <w:spacing/>
      <w:ind/>
    </w:pPr>
    <w:rPr>
      <w:rFonts w:ascii="Times New Roman" w:hAnsi="Times New Roman" w:eastAsia="Times New Roman" w:cs="Times New Roman"/>
      <w:sz w:val="26"/>
      <w:szCs w:val="26"/>
      <w:u w:val="none"/>
    </w:rPr>
  </w:style>
  <w:style w:type="character" w:styleId="640">
    <w:name w:val="Body text (4)_"/>
    <w:next w:val="640"/>
    <w:link w:val="666"/>
    <w:pPr>
      <w:pBdr/>
      <w:spacing/>
      <w:ind/>
    </w:pPr>
    <w:rPr>
      <w:rFonts w:ascii="Times New Roman" w:hAnsi="Times New Roman" w:eastAsia="Times New Roman" w:cs="Times New Roman"/>
      <w:sz w:val="22"/>
      <w:szCs w:val="22"/>
      <w:u w:val="none"/>
    </w:rPr>
  </w:style>
  <w:style w:type="character" w:styleId="642">
    <w:name w:val="Body text (2) + 9;5 pt;Bold"/>
    <w:next w:val="642"/>
    <w:link w:val="632"/>
    <w:pPr>
      <w:pBdr/>
      <w:spacing/>
      <w:ind/>
    </w:pPr>
    <w:rPr>
      <w:rFonts w:ascii="Times New Roman" w:hAnsi="Times New Roman" w:eastAsia="Times New Roman" w:cs="Times New Roman"/>
      <w:b/>
      <w:bCs/>
      <w:color w:val="000000"/>
      <w:spacing w:val="0"/>
      <w:position w:val="0"/>
      <w:sz w:val="19"/>
      <w:szCs w:val="19"/>
      <w:u w:val="none"/>
      <w:lang w:val="uk-UA" w:eastAsia="uk-UA" w:bidi="uk-UA"/>
    </w:rPr>
  </w:style>
  <w:style w:type="character" w:styleId="643">
    <w:name w:val="Body text (5)_"/>
    <w:next w:val="643"/>
    <w:link w:val="667"/>
    <w:pPr>
      <w:pBdr/>
      <w:spacing/>
      <w:ind/>
    </w:pPr>
    <w:rPr>
      <w:rFonts w:ascii="Times New Roman" w:hAnsi="Times New Roman" w:eastAsia="Times New Roman" w:cs="Times New Roman"/>
      <w:b/>
      <w:bCs/>
      <w:spacing w:val="-10"/>
      <w:sz w:val="48"/>
      <w:szCs w:val="48"/>
      <w:u w:val="none"/>
    </w:rPr>
  </w:style>
  <w:style w:type="character" w:styleId="644">
    <w:name w:val="Body text (6)_"/>
    <w:next w:val="644"/>
    <w:link w:val="668"/>
    <w:pPr>
      <w:pBdr/>
      <w:spacing/>
      <w:ind/>
    </w:pPr>
    <w:rPr>
      <w:rFonts w:ascii="Times New Roman" w:hAnsi="Times New Roman" w:eastAsia="Times New Roman" w:cs="Times New Roman"/>
      <w:sz w:val="38"/>
      <w:szCs w:val="38"/>
      <w:u w:val="none"/>
    </w:rPr>
  </w:style>
  <w:style w:type="character" w:styleId="645">
    <w:name w:val="Table caption_"/>
    <w:next w:val="645"/>
    <w:link w:val="669"/>
    <w:pPr>
      <w:pBdr/>
      <w:spacing/>
      <w:ind/>
    </w:pPr>
    <w:rPr>
      <w:rFonts w:ascii="Times New Roman" w:hAnsi="Times New Roman" w:eastAsia="Times New Roman" w:cs="Times New Roman"/>
      <w:b/>
      <w:bCs/>
      <w:sz w:val="26"/>
      <w:szCs w:val="26"/>
      <w:u w:val="none"/>
    </w:rPr>
  </w:style>
  <w:style w:type="character" w:styleId="647">
    <w:name w:val="Heading #2_"/>
    <w:next w:val="647"/>
    <w:link w:val="670"/>
    <w:pPr>
      <w:pBdr/>
      <w:spacing/>
      <w:ind/>
    </w:pPr>
    <w:rPr>
      <w:rFonts w:ascii="Times New Roman" w:hAnsi="Times New Roman" w:eastAsia="Times New Roman" w:cs="Times New Roman"/>
      <w:b/>
      <w:bCs/>
      <w:sz w:val="26"/>
      <w:szCs w:val="26"/>
      <w:u w:val="none"/>
    </w:rPr>
  </w:style>
  <w:style w:type="character" w:styleId="648">
    <w:name w:val="Body text (2) + Bold"/>
    <w:next w:val="648"/>
    <w:link w:val="632"/>
    <w:pPr>
      <w:pBdr/>
      <w:spacing/>
      <w:ind/>
    </w:pPr>
    <w:rPr>
      <w:rFonts w:ascii="Times New Roman" w:hAnsi="Times New Roman" w:eastAsia="Times New Roman" w:cs="Times New Roman"/>
      <w:b/>
      <w:bCs/>
      <w:color w:val="000000"/>
      <w:spacing w:val="0"/>
      <w:position w:val="0"/>
      <w:sz w:val="26"/>
      <w:szCs w:val="26"/>
      <w:u w:val="none"/>
      <w:lang w:val="uk-UA" w:eastAsia="uk-UA" w:bidi="uk-UA"/>
    </w:rPr>
  </w:style>
  <w:style w:type="character" w:styleId="650">
    <w:name w:val="Header or footer (2)_"/>
    <w:next w:val="650"/>
    <w:link w:val="671"/>
    <w:pPr>
      <w:pBdr/>
      <w:spacing/>
      <w:ind/>
    </w:pPr>
    <w:rPr>
      <w:rFonts w:ascii="Times New Roman" w:hAnsi="Times New Roman" w:eastAsia="Times New Roman" w:cs="Times New Roman"/>
      <w:sz w:val="28"/>
      <w:szCs w:val="28"/>
      <w:u w:val="none"/>
    </w:rPr>
  </w:style>
  <w:style w:type="character" w:styleId="651">
    <w:name w:val="Body text (7)_"/>
    <w:next w:val="651"/>
    <w:link w:val="672"/>
    <w:pPr>
      <w:pBdr/>
      <w:spacing/>
      <w:ind/>
    </w:pPr>
    <w:rPr>
      <w:rFonts w:ascii="Times New Roman" w:hAnsi="Times New Roman" w:eastAsia="Times New Roman" w:cs="Times New Roman"/>
      <w:b/>
      <w:bCs/>
      <w:sz w:val="22"/>
      <w:szCs w:val="22"/>
      <w:u w:val="none"/>
    </w:rPr>
  </w:style>
  <w:style w:type="character" w:styleId="653">
    <w:name w:val="Table caption (2)_"/>
    <w:next w:val="653"/>
    <w:link w:val="673"/>
    <w:pPr>
      <w:pBdr/>
      <w:spacing/>
      <w:ind/>
    </w:pPr>
    <w:rPr>
      <w:rFonts w:ascii="Times New Roman" w:hAnsi="Times New Roman" w:eastAsia="Times New Roman" w:cs="Times New Roman"/>
      <w:b/>
      <w:bCs/>
      <w:sz w:val="19"/>
      <w:szCs w:val="19"/>
      <w:u w:val="none"/>
    </w:rPr>
  </w:style>
  <w:style w:type="character" w:styleId="655">
    <w:name w:val="Header or footer_"/>
    <w:next w:val="655"/>
    <w:link w:val="674"/>
    <w:pPr>
      <w:pBdr/>
      <w:spacing/>
      <w:ind/>
    </w:pPr>
    <w:rPr>
      <w:rFonts w:ascii="Times New Roman" w:hAnsi="Times New Roman" w:eastAsia="Times New Roman" w:cs="Times New Roman"/>
      <w:b/>
      <w:bCs/>
      <w:u w:val="none"/>
    </w:rPr>
  </w:style>
  <w:style w:type="character" w:styleId="657">
    <w:name w:val="Body text (2) + 9;5 pt"/>
    <w:next w:val="657"/>
    <w:link w:val="632"/>
    <w:pPr>
      <w:pBdr/>
      <w:spacing/>
      <w:ind/>
    </w:pPr>
    <w:rPr>
      <w:rFonts w:ascii="Times New Roman" w:hAnsi="Times New Roman" w:eastAsia="Times New Roman" w:cs="Times New Roman"/>
      <w:color w:val="000000"/>
      <w:spacing w:val="0"/>
      <w:position w:val="0"/>
      <w:sz w:val="19"/>
      <w:szCs w:val="19"/>
      <w:u w:val="none"/>
      <w:lang w:val="uk-UA" w:eastAsia="uk-UA" w:bidi="uk-UA"/>
    </w:rPr>
  </w:style>
  <w:style w:type="character" w:styleId="658">
    <w:name w:val="Body text (2) + 11 pt;Bold"/>
    <w:next w:val="658"/>
    <w:link w:val="632"/>
    <w:pPr>
      <w:pBdr/>
      <w:spacing/>
      <w:ind/>
    </w:pPr>
    <w:rPr>
      <w:rFonts w:ascii="Times New Roman" w:hAnsi="Times New Roman" w:eastAsia="Times New Roman" w:cs="Times New Roman"/>
      <w:b/>
      <w:bCs/>
      <w:color w:val="000000"/>
      <w:spacing w:val="0"/>
      <w:position w:val="0"/>
      <w:sz w:val="22"/>
      <w:szCs w:val="22"/>
      <w:u w:val="none"/>
      <w:lang w:val="uk-UA" w:eastAsia="uk-UA" w:bidi="uk-UA"/>
    </w:rPr>
  </w:style>
  <w:style w:type="character" w:styleId="659">
    <w:name w:val="Body text (4) + Bold"/>
    <w:next w:val="659"/>
    <w:link w:val="632"/>
    <w:pPr>
      <w:pBdr/>
      <w:spacing/>
      <w:ind/>
    </w:pPr>
    <w:rPr>
      <w:rFonts w:ascii="Times New Roman" w:hAnsi="Times New Roman" w:eastAsia="Times New Roman" w:cs="Times New Roman"/>
      <w:b/>
      <w:bCs/>
      <w:color w:val="000000"/>
      <w:spacing w:val="0"/>
      <w:position w:val="0"/>
      <w:sz w:val="22"/>
      <w:szCs w:val="22"/>
      <w:u w:val="single"/>
      <w:lang w:val="uk-UA" w:eastAsia="uk-UA" w:bidi="uk-UA"/>
    </w:rPr>
  </w:style>
  <w:style w:type="character" w:styleId="660">
    <w:name w:val="Body text (2) + 9 pt;Spacing -1 pt;Scale 150%"/>
    <w:next w:val="660"/>
    <w:link w:val="632"/>
    <w:pPr>
      <w:pBdr/>
      <w:spacing/>
      <w:ind/>
    </w:pPr>
    <w:rPr>
      <w:rFonts w:ascii="Times New Roman" w:hAnsi="Times New Roman" w:eastAsia="Times New Roman" w:cs="Times New Roman"/>
      <w:color w:val="000000"/>
      <w:spacing w:val="-20"/>
      <w:position w:val="0"/>
      <w:sz w:val="18"/>
      <w:szCs w:val="18"/>
      <w:u w:val="none"/>
      <w:lang w:val="uk-UA" w:eastAsia="uk-UA" w:bidi="uk-UA"/>
    </w:rPr>
  </w:style>
  <w:style w:type="character" w:styleId="661">
    <w:name w:val="Body text (2) + 6 pt;Scale 150%"/>
    <w:next w:val="661"/>
    <w:link w:val="632"/>
    <w:pPr>
      <w:pBdr/>
      <w:spacing/>
      <w:ind/>
    </w:pPr>
    <w:rPr>
      <w:rFonts w:ascii="Times New Roman" w:hAnsi="Times New Roman" w:eastAsia="Times New Roman" w:cs="Times New Roman"/>
      <w:color w:val="000000"/>
      <w:spacing w:val="0"/>
      <w:position w:val="0"/>
      <w:sz w:val="12"/>
      <w:szCs w:val="12"/>
      <w:u w:val="none"/>
      <w:lang w:val="uk-UA" w:eastAsia="uk-UA" w:bidi="uk-UA"/>
    </w:rPr>
  </w:style>
  <w:style w:type="character" w:styleId="662">
    <w:name w:val="Body text (2) + 12 pt;Bold"/>
    <w:next w:val="662"/>
    <w:link w:val="632"/>
    <w:pPr>
      <w:pBdr/>
      <w:spacing/>
      <w:ind/>
    </w:pPr>
    <w:rPr>
      <w:rFonts w:ascii="Times New Roman" w:hAnsi="Times New Roman" w:eastAsia="Times New Roman" w:cs="Times New Roman"/>
      <w:b/>
      <w:bCs/>
      <w:color w:val="000000"/>
      <w:spacing w:val="0"/>
      <w:position w:val="0"/>
      <w:sz w:val="24"/>
      <w:szCs w:val="24"/>
      <w:u w:val="none"/>
      <w:lang w:val="uk-UA" w:eastAsia="uk-UA" w:bidi="uk-UA"/>
    </w:rPr>
  </w:style>
  <w:style w:type="paragraph" w:styleId="663">
    <w:name w:val="Body text (3)"/>
    <w:basedOn w:val="632"/>
    <w:next w:val="663"/>
    <w:link w:val="637"/>
    <w:pPr>
      <w:pBdr/>
      <w:shd w:val="clear" w:color="auto" w:fill="ffffff"/>
      <w:spacing w:after="360" w:line="0" w:lineRule="atLeast"/>
      <w:ind/>
      <w:jc w:val="center"/>
    </w:pPr>
    <w:rPr>
      <w:rFonts w:ascii="Times New Roman" w:hAnsi="Times New Roman" w:eastAsia="Times New Roman" w:cs="Times New Roman"/>
      <w:b/>
      <w:bCs/>
      <w:sz w:val="26"/>
      <w:szCs w:val="26"/>
    </w:rPr>
  </w:style>
  <w:style w:type="paragraph" w:styleId="664">
    <w:name w:val="Heading #1"/>
    <w:basedOn w:val="632"/>
    <w:next w:val="664"/>
    <w:link w:val="638"/>
    <w:pPr>
      <w:pBdr/>
      <w:shd w:val="clear" w:color="auto" w:fill="ffffff"/>
      <w:spacing w:before="360" w:line="322" w:lineRule="exact"/>
      <w:ind/>
      <w:jc w:val="center"/>
      <w:outlineLvl w:val="0"/>
    </w:pPr>
    <w:rPr>
      <w:rFonts w:ascii="Times New Roman" w:hAnsi="Times New Roman" w:eastAsia="Times New Roman" w:cs="Times New Roman"/>
      <w:b/>
      <w:bCs/>
      <w:spacing w:val="20"/>
      <w:sz w:val="34"/>
      <w:szCs w:val="34"/>
    </w:rPr>
  </w:style>
  <w:style w:type="paragraph" w:styleId="665">
    <w:name w:val="Body text (2)"/>
    <w:basedOn w:val="632"/>
    <w:next w:val="665"/>
    <w:link w:val="639"/>
    <w:pPr>
      <w:pBdr/>
      <w:shd w:val="clear" w:color="auto" w:fill="ffffff"/>
      <w:spacing w:after="300" w:line="322" w:lineRule="exact"/>
      <w:ind/>
      <w:jc w:val="center"/>
    </w:pPr>
    <w:rPr>
      <w:rFonts w:ascii="Times New Roman" w:hAnsi="Times New Roman" w:eastAsia="Times New Roman" w:cs="Times New Roman"/>
      <w:sz w:val="26"/>
      <w:szCs w:val="26"/>
    </w:rPr>
  </w:style>
  <w:style w:type="paragraph" w:styleId="666">
    <w:name w:val="Body text (4)"/>
    <w:basedOn w:val="632"/>
    <w:next w:val="666"/>
    <w:link w:val="640"/>
    <w:pPr>
      <w:pBdr/>
      <w:shd w:val="clear" w:color="auto" w:fill="ffffff"/>
      <w:spacing w:before="180" w:line="274" w:lineRule="exact"/>
      <w:ind/>
      <w:jc w:val="both"/>
    </w:pPr>
    <w:rPr>
      <w:rFonts w:ascii="Times New Roman" w:hAnsi="Times New Roman" w:eastAsia="Times New Roman" w:cs="Times New Roman"/>
      <w:sz w:val="22"/>
      <w:szCs w:val="22"/>
    </w:rPr>
  </w:style>
  <w:style w:type="paragraph" w:styleId="667">
    <w:name w:val="Body text (5)"/>
    <w:basedOn w:val="632"/>
    <w:next w:val="667"/>
    <w:link w:val="643"/>
    <w:pPr>
      <w:pBdr/>
      <w:shd w:val="clear" w:color="auto" w:fill="ffffff"/>
      <w:spacing w:before="2640" w:line="600" w:lineRule="exact"/>
      <w:ind/>
      <w:jc w:val="center"/>
    </w:pPr>
    <w:rPr>
      <w:rFonts w:ascii="Times New Roman" w:hAnsi="Times New Roman" w:eastAsia="Times New Roman" w:cs="Times New Roman"/>
      <w:b/>
      <w:bCs/>
      <w:spacing w:val="-10"/>
      <w:sz w:val="48"/>
      <w:szCs w:val="48"/>
    </w:rPr>
  </w:style>
  <w:style w:type="paragraph" w:styleId="668">
    <w:name w:val="Body text (6)"/>
    <w:basedOn w:val="632"/>
    <w:next w:val="668"/>
    <w:link w:val="644"/>
    <w:pPr>
      <w:pBdr/>
      <w:shd w:val="clear" w:color="auto" w:fill="ffffff"/>
      <w:spacing w:after="5880" w:before="420" w:line="0" w:lineRule="atLeast"/>
      <w:ind/>
      <w:jc w:val="center"/>
    </w:pPr>
    <w:rPr>
      <w:rFonts w:ascii="Times New Roman" w:hAnsi="Times New Roman" w:eastAsia="Times New Roman" w:cs="Times New Roman"/>
      <w:sz w:val="38"/>
      <w:szCs w:val="38"/>
    </w:rPr>
  </w:style>
  <w:style w:type="paragraph" w:styleId="669">
    <w:name w:val="Table caption"/>
    <w:basedOn w:val="632"/>
    <w:next w:val="669"/>
    <w:link w:val="645"/>
    <w:pPr>
      <w:pBdr/>
      <w:shd w:val="clear" w:color="auto" w:fill="ffffff"/>
      <w:spacing w:line="0" w:lineRule="atLeast"/>
      <w:ind/>
    </w:pPr>
    <w:rPr>
      <w:rFonts w:ascii="Times New Roman" w:hAnsi="Times New Roman" w:eastAsia="Times New Roman" w:cs="Times New Roman"/>
      <w:b/>
      <w:bCs/>
      <w:sz w:val="26"/>
      <w:szCs w:val="26"/>
    </w:rPr>
  </w:style>
  <w:style w:type="paragraph" w:styleId="670">
    <w:name w:val="Heading #2"/>
    <w:basedOn w:val="632"/>
    <w:next w:val="670"/>
    <w:link w:val="647"/>
    <w:pPr>
      <w:pBdr/>
      <w:shd w:val="clear" w:color="auto" w:fill="ffffff"/>
      <w:spacing w:line="322" w:lineRule="exact"/>
      <w:ind w:hanging="1480"/>
      <w:jc w:val="both"/>
      <w:outlineLvl w:val="1"/>
    </w:pPr>
    <w:rPr>
      <w:rFonts w:ascii="Times New Roman" w:hAnsi="Times New Roman" w:eastAsia="Times New Roman" w:cs="Times New Roman"/>
      <w:b/>
      <w:bCs/>
      <w:sz w:val="26"/>
      <w:szCs w:val="26"/>
    </w:rPr>
  </w:style>
  <w:style w:type="paragraph" w:styleId="671">
    <w:name w:val="Header or footer (2)"/>
    <w:basedOn w:val="632"/>
    <w:next w:val="671"/>
    <w:link w:val="650"/>
    <w:pPr>
      <w:pBdr/>
      <w:shd w:val="clear" w:color="auto" w:fill="ffffff"/>
      <w:spacing w:line="0" w:lineRule="atLeast"/>
      <w:ind/>
    </w:pPr>
    <w:rPr>
      <w:rFonts w:ascii="Times New Roman" w:hAnsi="Times New Roman" w:eastAsia="Times New Roman" w:cs="Times New Roman"/>
      <w:sz w:val="28"/>
      <w:szCs w:val="28"/>
    </w:rPr>
  </w:style>
  <w:style w:type="paragraph" w:styleId="672">
    <w:name w:val="Body text (7)"/>
    <w:basedOn w:val="632"/>
    <w:next w:val="672"/>
    <w:link w:val="651"/>
    <w:pPr>
      <w:pBdr/>
      <w:shd w:val="clear" w:color="auto" w:fill="ffffff"/>
      <w:spacing w:after="60" w:line="0" w:lineRule="atLeast"/>
      <w:ind/>
      <w:jc w:val="center"/>
    </w:pPr>
    <w:rPr>
      <w:rFonts w:ascii="Times New Roman" w:hAnsi="Times New Roman" w:eastAsia="Times New Roman" w:cs="Times New Roman"/>
      <w:b/>
      <w:bCs/>
      <w:sz w:val="22"/>
      <w:szCs w:val="22"/>
    </w:rPr>
  </w:style>
  <w:style w:type="paragraph" w:styleId="673">
    <w:name w:val="Table caption (2)"/>
    <w:basedOn w:val="632"/>
    <w:next w:val="673"/>
    <w:link w:val="653"/>
    <w:pPr>
      <w:pBdr/>
      <w:shd w:val="clear" w:color="auto" w:fill="ffffff"/>
      <w:spacing w:line="0" w:lineRule="atLeast"/>
      <w:ind/>
    </w:pPr>
    <w:rPr>
      <w:rFonts w:ascii="Times New Roman" w:hAnsi="Times New Roman" w:eastAsia="Times New Roman" w:cs="Times New Roman"/>
      <w:b/>
      <w:bCs/>
      <w:sz w:val="19"/>
      <w:szCs w:val="19"/>
    </w:rPr>
  </w:style>
  <w:style w:type="paragraph" w:styleId="674">
    <w:name w:val="Header or footer"/>
    <w:basedOn w:val="632"/>
    <w:next w:val="674"/>
    <w:link w:val="655"/>
    <w:pPr>
      <w:pBdr/>
      <w:shd w:val="clear" w:color="auto" w:fill="ffffff"/>
      <w:spacing w:line="0" w:lineRule="atLeast"/>
      <w:ind/>
    </w:pPr>
    <w:rPr>
      <w:rFonts w:ascii="Times New Roman" w:hAnsi="Times New Roman" w:eastAsia="Times New Roman" w:cs="Times New Roman"/>
      <w:b/>
      <w:bCs/>
    </w:rPr>
  </w:style>
  <w:style w:type="paragraph" w:styleId="675">
    <w:name w:val="Верхній колонтитул"/>
    <w:basedOn w:val="632"/>
    <w:next w:val="675"/>
    <w:link w:val="676"/>
    <w:uiPriority w:val="99"/>
    <w:unhideWhenUsed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676">
    <w:name w:val="Верхній колонтитул Знак"/>
    <w:next w:val="676"/>
    <w:link w:val="675"/>
    <w:uiPriority w:val="99"/>
    <w:pPr>
      <w:pBdr/>
      <w:spacing/>
      <w:ind/>
    </w:pPr>
    <w:rPr>
      <w:color w:val="000000"/>
    </w:rPr>
  </w:style>
  <w:style w:type="paragraph" w:styleId="677">
    <w:name w:val="Нижній колонтитул"/>
    <w:basedOn w:val="632"/>
    <w:next w:val="677"/>
    <w:link w:val="678"/>
    <w:uiPriority w:val="99"/>
    <w:unhideWhenUsed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678">
    <w:name w:val="Нижній колонтитул Знак"/>
    <w:next w:val="678"/>
    <w:link w:val="677"/>
    <w:uiPriority w:val="99"/>
    <w:pPr>
      <w:pBdr/>
      <w:spacing/>
      <w:ind/>
    </w:pPr>
    <w:rPr>
      <w:color w:val="000000"/>
    </w:rPr>
  </w:style>
  <w:style w:type="paragraph" w:styleId="679">
    <w:name w:val="Абзац списку"/>
    <w:basedOn w:val="632"/>
    <w:next w:val="679"/>
    <w:link w:val="632"/>
    <w:uiPriority w:val="99"/>
    <w:qFormat/>
    <w:pPr>
      <w:widowControl w:val="true"/>
      <w:pBdr/>
      <w:spacing/>
      <w:ind w:left="720"/>
      <w:contextualSpacing w:val="true"/>
    </w:pPr>
    <w:rPr>
      <w:rFonts w:ascii="Times New Roman" w:hAnsi="Times New Roman" w:eastAsia="Times New Roman" w:cs="Times New Roman"/>
      <w:color w:val="000000"/>
      <w:sz w:val="22"/>
      <w:szCs w:val="22"/>
      <w:lang w:eastAsia="ar-SA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14. ПР АГЕНЦІЯ</dc:title>
  <dc:creator>1618-Gerasymenko.A</dc:creator>
  <cp:lastModifiedBy>СТАЛЬНИЧЕНКО Юрій Валерійович</cp:lastModifiedBy>
  <cp:revision>10</cp:revision>
  <dcterms:created xsi:type="dcterms:W3CDTF">2024-09-10T13:47:00Z</dcterms:created>
  <dcterms:modified xsi:type="dcterms:W3CDTF">2024-09-13T15:39:29Z</dcterms:modified>
  <cp:version>1048576</cp:version>
</cp:coreProperties>
</file>