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13" w:rsidRDefault="00B97D13">
      <w:pPr>
        <w:pStyle w:val="12"/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sz w:val="28"/>
          <w:szCs w:val="28"/>
          <w:lang w:val="uk-UA" w:eastAsia="hi-IN" w:bidi="hi-IN"/>
        </w:rPr>
      </w:pPr>
      <w:bookmarkStart w:id="0" w:name="_Hlk14890062"/>
    </w:p>
    <w:p w:rsidR="00B97D13" w:rsidRDefault="00F37171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  <w:t>МЕНСЬКА МІСЬКА РАДА</w:t>
      </w:r>
    </w:p>
    <w:p w:rsidR="00B97D13" w:rsidRDefault="00B97D13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16"/>
          <w:szCs w:val="28"/>
        </w:rPr>
      </w:pPr>
    </w:p>
    <w:p w:rsidR="00B97D13" w:rsidRDefault="00F37171">
      <w:pPr>
        <w:pStyle w:val="12"/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hi-IN" w:bidi="hi-IN"/>
        </w:rPr>
        <w:t>ВИКОНАВЧИЙ КОМІТЕТ</w:t>
      </w:r>
    </w:p>
    <w:p w:rsidR="00B97D13" w:rsidRDefault="00F37171">
      <w:pPr>
        <w:pStyle w:val="12"/>
        <w:widowControl w:val="0"/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  <w:lang w:val="uk-UA" w:eastAsia="hi-IN" w:bidi="hi-IN"/>
        </w:rPr>
        <w:t xml:space="preserve">                                                           РІШЕННЯ</w:t>
      </w:r>
    </w:p>
    <w:p w:rsidR="00B97D13" w:rsidRDefault="00B97D13">
      <w:pPr>
        <w:pStyle w:val="12"/>
        <w:widowControl w:val="0"/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val="uk-UA" w:eastAsia="hi-IN" w:bidi="hi-IN"/>
        </w:rPr>
      </w:pPr>
    </w:p>
    <w:p w:rsidR="00B97D13" w:rsidRDefault="00F37171">
      <w:pPr>
        <w:pStyle w:val="12"/>
        <w:widowControl w:val="0"/>
        <w:spacing w:after="0" w:line="240" w:lineRule="auto"/>
        <w:rPr>
          <w:rFonts w:ascii="Times New Roman" w:eastAsia="Lucida Sans Unicode" w:hAnsi="Times New Roman"/>
          <w:sz w:val="28"/>
          <w:szCs w:val="28"/>
          <w:lang w:val="uk-UA" w:eastAsia="hi-IN" w:bidi="hi-IN"/>
        </w:rPr>
      </w:pPr>
      <w:r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 xml:space="preserve">26  серпня 2024 року                            м. </w:t>
      </w:r>
      <w:proofErr w:type="spellStart"/>
      <w:r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>Мена</w:t>
      </w:r>
      <w:proofErr w:type="spellEnd"/>
      <w:r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 xml:space="preserve">                                №</w:t>
      </w:r>
      <w:r>
        <w:rPr>
          <w:rFonts w:ascii="Times New Roman" w:eastAsia="Lucida Sans Unicode" w:hAnsi="Times New Roman"/>
          <w:color w:val="FF0000"/>
          <w:sz w:val="28"/>
          <w:szCs w:val="28"/>
          <w:lang w:val="uk-UA" w:eastAsia="hi-IN" w:bidi="hi-IN"/>
        </w:rPr>
        <w:t xml:space="preserve"> </w:t>
      </w:r>
      <w:r w:rsidR="00AD3A21">
        <w:rPr>
          <w:rFonts w:ascii="Times New Roman" w:eastAsia="Lucida Sans Unicode" w:hAnsi="Times New Roman"/>
          <w:sz w:val="28"/>
          <w:szCs w:val="28"/>
          <w:lang w:val="uk-UA" w:eastAsia="hi-IN" w:bidi="hi-IN"/>
        </w:rPr>
        <w:t>175</w:t>
      </w:r>
      <w:bookmarkStart w:id="1" w:name="_GoBack"/>
      <w:bookmarkEnd w:id="1"/>
    </w:p>
    <w:p w:rsidR="00B97D13" w:rsidRDefault="00B97D13">
      <w:pPr>
        <w:pStyle w:val="12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97D13" w:rsidRDefault="00F37171">
      <w:pPr>
        <w:pStyle w:val="12"/>
        <w:spacing w:after="0" w:line="240" w:lineRule="auto"/>
        <w:ind w:right="552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 підготовку закладів освіти до нового навчального року</w:t>
      </w:r>
    </w:p>
    <w:p w:rsidR="00B97D13" w:rsidRDefault="00B97D13">
      <w:pPr>
        <w:pStyle w:val="12"/>
        <w:spacing w:after="0"/>
        <w:ind w:firstLine="567"/>
        <w:jc w:val="both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B97D13" w:rsidRDefault="00F37171">
      <w:pPr>
        <w:pStyle w:val="12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розпорядження начальника Чернігівської обласної військової адміністрації від 24.05.2024 № 368 «Про підготовку об’єктів підприємств – надавачів житлово-комунальних послуг, закладів бюджетної сфери та паливно-енергетичного комплексу області до роботи в осінньо-зимовий на період 2024-2025 року», керуючись ч.2 статті 32 Закону України «Про місцеве самоврядування в Україні», ч. 3  статті 37 Закону України «Про повну загальну середню освіту», ч. 2 статті 19 Закону України «Про дошкільну освіту», статтею 5 Закону України «Про охорону дитинства»,  з метою забезпечення своєчасної підготовки будівель і споруд навчального та енергетичного призначення, зовнішніх інженерних мереж закладів освіти громади до сталої роботи в новому 2023-2024 навчальному році та в осінньо-зимовий період, виконавчий комітет  Менської  міської ради</w:t>
      </w:r>
    </w:p>
    <w:p w:rsidR="00B97D13" w:rsidRDefault="00F37171">
      <w:pPr>
        <w:pStyle w:val="12"/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97D13" w:rsidRDefault="00F37171">
      <w:pPr>
        <w:pStyle w:val="12"/>
        <w:shd w:val="clear" w:color="auto" w:fill="FFFFFF"/>
        <w:tabs>
          <w:tab w:val="left" w:pos="709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Інформацію  Відділу освіти Менської міської ради  </w:t>
      </w:r>
      <w:bookmarkStart w:id="2" w:name="_Hlk143523911"/>
      <w:r>
        <w:rPr>
          <w:rFonts w:ascii="Times New Roman" w:hAnsi="Times New Roman"/>
          <w:sz w:val="28"/>
          <w:szCs w:val="28"/>
          <w:lang w:val="uk-UA"/>
        </w:rPr>
        <w:t xml:space="preserve">про  підготовку закладів освіти </w:t>
      </w:r>
      <w:bookmarkStart w:id="3" w:name="_Hlk143523764"/>
      <w:r>
        <w:rPr>
          <w:rFonts w:ascii="Times New Roman" w:hAnsi="Times New Roman"/>
          <w:sz w:val="28"/>
          <w:szCs w:val="28"/>
          <w:lang w:val="uk-UA"/>
        </w:rPr>
        <w:t>Менської міської територіальної громади до нового 2024/2025 навчального року</w:t>
      </w:r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взяти до відома (додається).</w:t>
      </w:r>
    </w:p>
    <w:p w:rsidR="00B97D13" w:rsidRDefault="00F37171">
      <w:pPr>
        <w:pStyle w:val="12"/>
        <w:spacing w:after="0" w:line="240" w:lineRule="auto"/>
        <w:ind w:right="28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Відділу освіти Менської міської ради, Комунальній установі  «Центр з обслуговування освітніх установ та закладів освіти» Менської міської ради, керівникам закладів освіти:</w:t>
      </w:r>
    </w:p>
    <w:p w:rsidR="00B97D13" w:rsidRDefault="00F37171">
      <w:pPr>
        <w:pStyle w:val="12"/>
        <w:spacing w:after="0" w:line="240" w:lineRule="auto"/>
        <w:ind w:right="28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Своєчасно вжити заходів з підготовки матеріально-технічної бази закладів освіти до роботи в новому 2024/2025 навчальному році;</w:t>
      </w:r>
    </w:p>
    <w:p w:rsidR="00B97D13" w:rsidRDefault="00F37171">
      <w:pPr>
        <w:pStyle w:val="12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Забезпечити ефективне використання матеріально-технічної бази під час освітнього процесу та в осінньо-зимовий період, здійснити заходи з енергозбереження, провести обстеження технічного стану будівель і споруд з метою запобігання їх руйнуванню та забезпечення вимог наказу Міністерства палива та енергетики України та Міністерства з питань житлово-комунального господарства України від 10.12.2008 за №620/378 «Про затвердження Правил підготовки теплових господарств до опалювального періоду»;</w:t>
      </w:r>
    </w:p>
    <w:p w:rsidR="00B97D13" w:rsidRDefault="00F37171">
      <w:pPr>
        <w:pStyle w:val="12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2.3. Виконати заплановані технічні заходи з підготовки котелень (топкових), теплотрас до роботи в осінньо-зимовий період 2024/2025 року;</w:t>
      </w:r>
    </w:p>
    <w:p w:rsidR="00B97D13" w:rsidRDefault="00F37171">
      <w:pPr>
        <w:pStyle w:val="12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Вчасно повірити засоби обліку теплової енергії, води, електроенергії; манометри та сигналізатори;</w:t>
      </w:r>
    </w:p>
    <w:p w:rsidR="00B97D13" w:rsidRDefault="00F37171">
      <w:pPr>
        <w:pStyle w:val="12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 Провести закупівлю необхідної кількості різних видів твердого палива (торфу, дров, торфобрикету, вугілля та інше) для закладів освіти;</w:t>
      </w:r>
    </w:p>
    <w:p w:rsidR="00B97D13" w:rsidRDefault="00F37171">
      <w:pPr>
        <w:pStyle w:val="12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2.6. Забезпечити суворий контроль за споживанням паливно-енергетичних ресурсів;</w:t>
      </w:r>
    </w:p>
    <w:p w:rsidR="00B97D13" w:rsidRDefault="00F37171">
      <w:pPr>
        <w:pStyle w:val="12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2.7. Провести до 10 вересня 2024 року моніторинг технічного стану та підготовки всіх систем і джерел теплопостачання, об’єктів електроенергетики споживачів електричної та теплової енергії до роботи в осінньо-зимовий період;</w:t>
      </w:r>
    </w:p>
    <w:p w:rsidR="00B97D13" w:rsidRDefault="00F37171">
      <w:pPr>
        <w:pStyle w:val="12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2.8. Забезпечити заклади освіти резервними джерелами енергопостачання та до 01 жовтня 2024 року вжити заходів з їх підготовки, а також створення резерву паливно-мастильних матеріалів у достатньому обсязі для забезпечення їхньої роботи;</w:t>
      </w:r>
    </w:p>
    <w:p w:rsidR="00B97D13" w:rsidRDefault="00F37171">
      <w:pPr>
        <w:pStyle w:val="12"/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  <w:lang w:val="uk-UA"/>
        </w:rPr>
        <w:tab/>
        <w:t>2.9. Вжити заходів щодо:</w:t>
      </w:r>
    </w:p>
    <w:p w:rsidR="00B97D13" w:rsidRDefault="00F37171">
      <w:pPr>
        <w:pStyle w:val="12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забезпечення розробки планів-графіків споживання природнього газу з урахуванням мінімально можливого його використання для функціонування котельного обладнання;</w:t>
      </w:r>
    </w:p>
    <w:p w:rsidR="00B97D13" w:rsidRDefault="00F37171">
      <w:pPr>
        <w:pStyle w:val="12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своєчасного укладення договорів з постачання природного газу для виробництва теплової та електричної енергії, а також забезпечення вчасних розрахунків за спожитий природний газ, електричну енергію та їх розподіл;</w:t>
      </w:r>
    </w:p>
    <w:p w:rsidR="00B97D13" w:rsidRDefault="00F37171">
      <w:pPr>
        <w:pStyle w:val="12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погашення заборгованості за спожиті комунальні послуги та уникнення її утворення в подальшому;</w:t>
      </w:r>
    </w:p>
    <w:p w:rsidR="00B97D13" w:rsidRDefault="00F37171">
      <w:pPr>
        <w:pStyle w:val="12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комісійного обстеження технічного стану мереж, насосних агрегатів, вузлів обліку, контрольно-вимірювальних пристроїв;</w:t>
      </w:r>
    </w:p>
    <w:p w:rsidR="00B97D13" w:rsidRDefault="00F37171">
      <w:pPr>
        <w:pStyle w:val="12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2.10.</w:t>
      </w:r>
      <w:r>
        <w:rPr>
          <w:rFonts w:ascii="Times New Roman" w:hAnsi="Times New Roman"/>
          <w:sz w:val="28"/>
          <w:szCs w:val="28"/>
        </w:rPr>
        <w:t xml:space="preserve"> Заве</w:t>
      </w:r>
      <w:r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шити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01.10.20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/>
          <w:sz w:val="28"/>
          <w:szCs w:val="28"/>
        </w:rPr>
        <w:t xml:space="preserve">-зимовий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97D13" w:rsidRDefault="00F37171">
      <w:pPr>
        <w:pStyle w:val="1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2.11.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вершити до 01.09.2024 року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організованого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нового </w:t>
      </w:r>
      <w:r>
        <w:rPr>
          <w:rFonts w:ascii="Times New Roman" w:hAnsi="Times New Roman"/>
          <w:sz w:val="28"/>
          <w:szCs w:val="28"/>
          <w:lang w:val="uk-UA"/>
        </w:rPr>
        <w:t>2024/2025 навчального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97D13" w:rsidRDefault="00F37171">
      <w:pPr>
        <w:pStyle w:val="1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Директорам закладів загальної середньої освіти, дошкільної, позашкільної освіти,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МНВК: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3.1. Забезпечити початок освітнього процесу в закладах загальної середньої освіти з 02 вересня 2024 року;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3.2. Врахувати в роботі, що форма організації освітнього процесу може змінюватися впродовж навчального року в залежності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безпекової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ситуації;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3.3. Вжити заходів щодо забезпечення безпеки усіх учасників освітнього процесу впродовж навчального року: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утримувати в постійній готовності до використання захисні споруди цивільного захисту, призначені для укриття учасників освітнього процесу;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інформувати учасників освітнього процесу про місця розташування захисних споруд цивільного захисту та інших споруд, призначених для їх укриття на випадок виникнення надзвичайних ситуацій, порядок їх заповнення та поводження у них;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проводити профілактичну та просвітницьку роботу щодо формування безпечної поведінки в цифровому середовищі, навчання з мінної безпеки та правил поводження з вибухонебезпечними предметами;</w:t>
      </w:r>
    </w:p>
    <w:p w:rsidR="00B97D13" w:rsidRDefault="00F37171">
      <w:pPr>
        <w:pStyle w:val="1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вжити заходів щодо створення та забезпечення функціонування класів безпеки в закладах освіти;</w:t>
      </w:r>
    </w:p>
    <w:p w:rsidR="00B97D13" w:rsidRDefault="00F37171">
      <w:pPr>
        <w:pStyle w:val="1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організовувати систематичні психологічні навчання, тренінги тощо з метою надання психоемоційної підтримки учасникам освітнього процесу;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- продовжити створення сучасного, безпечного, інклюзивного освітнього середовища в закладах освіти громади;</w:t>
      </w:r>
    </w:p>
    <w:p w:rsidR="00B97D13" w:rsidRDefault="00F37171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при організації освітнього процесу в очному або змішаному форматі забезпечити безумовне переривання освітнього процесу, що здійснюється в будівлі, приміщенні закладу освіти, у разі включення сигналу «Повітряна тривога» або інших сигналів оповіщення; забезпечити організоване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прослідування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споруд цивільного захисту і перебування в них до скасування тривоги всіх учасників освітнього процесу; за можливості, продовжити освітній процес в укритті, а після відбою тривоги повернутися до приміщення закладу освіти, організувавши освітній процес з урахуванням необхідного корегування.</w:t>
      </w:r>
    </w:p>
    <w:p w:rsidR="00B97D13" w:rsidRDefault="00F37171">
      <w:pPr>
        <w:pStyle w:val="13"/>
        <w:tabs>
          <w:tab w:val="left" w:pos="0"/>
          <w:tab w:val="left" w:pos="993"/>
          <w:tab w:val="left" w:pos="694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Контроль за виконанням рішення покласти на заступника міського голови з питань діяльності виконавчих органів ради Вікторію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Прищепу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начальника Відділу освіти Менської міської ради Ірину Лук’яненко.</w:t>
      </w:r>
    </w:p>
    <w:bookmarkEnd w:id="0"/>
    <w:p w:rsidR="00B97D13" w:rsidRDefault="00B97D13">
      <w:pPr>
        <w:pStyle w:val="13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D13" w:rsidRDefault="00F37171">
      <w:pPr>
        <w:pStyle w:val="12"/>
        <w:tabs>
          <w:tab w:val="left" w:pos="993"/>
          <w:tab w:val="left" w:pos="6378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ради                                                               Юрій СТАЛЬНИЧЕНКО</w:t>
      </w:r>
    </w:p>
    <w:p w:rsidR="00B97D13" w:rsidRDefault="00B97D13"/>
    <w:sectPr w:rsidR="00B97D13" w:rsidSect="00AD3A21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13" w:rsidRDefault="00F37171">
      <w:r>
        <w:separator/>
      </w:r>
    </w:p>
  </w:endnote>
  <w:endnote w:type="continuationSeparator" w:id="0">
    <w:p w:rsidR="00B97D13" w:rsidRDefault="00F3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13" w:rsidRDefault="00F37171">
      <w:r>
        <w:separator/>
      </w:r>
    </w:p>
  </w:footnote>
  <w:footnote w:type="continuationSeparator" w:id="0">
    <w:p w:rsidR="00B97D13" w:rsidRDefault="00F3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3" w:rsidRDefault="00F37171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AD3A21">
      <w:rPr>
        <w:noProof/>
      </w:rPr>
      <w:t>3</w:t>
    </w:r>
    <w:r>
      <w:fldChar w:fldCharType="end"/>
    </w:r>
  </w:p>
  <w:p w:rsidR="00B97D13" w:rsidRDefault="00B97D1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13" w:rsidRDefault="00F37171">
    <w:pPr>
      <w:pStyle w:val="af8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67219CF0" wp14:editId="0F8E984E">
              <wp:extent cx="45720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57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6.0pt;height:48.0pt;" stroked="f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13"/>
    <w:rsid w:val="00AD3A21"/>
    <w:rsid w:val="00B97D13"/>
    <w:rsid w:val="00F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link w:val="af9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0"/>
      <w:szCs w:val="20"/>
      <w:lang w:val="uk-UA" w:eastAsia="zh-CN"/>
    </w:rPr>
  </w:style>
  <w:style w:type="paragraph" w:customStyle="1" w:styleId="12">
    <w:name w:val="Обычный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customStyle="1" w:styleId="13">
    <w:name w:val="Абзац списка1"/>
    <w:basedOn w:val="12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3717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37171"/>
    <w:rPr>
      <w:rFonts w:ascii="Tahoma" w:eastAsia="Calibri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header"/>
    <w:link w:val="af9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sz w:val="20"/>
      <w:szCs w:val="20"/>
      <w:lang w:val="uk-UA" w:eastAsia="zh-CN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0"/>
      <w:szCs w:val="20"/>
      <w:lang w:val="uk-UA" w:eastAsia="zh-CN"/>
    </w:rPr>
  </w:style>
  <w:style w:type="paragraph" w:customStyle="1" w:styleId="12">
    <w:name w:val="Обычный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customStyle="1" w:styleId="13">
    <w:name w:val="Абзац списка1"/>
    <w:basedOn w:val="12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3717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37171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3916</Words>
  <Characters>2233</Characters>
  <Application>Microsoft Office Word</Application>
  <DocSecurity>0</DocSecurity>
  <Lines>18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LOStarodub</cp:lastModifiedBy>
  <cp:revision>5</cp:revision>
  <dcterms:created xsi:type="dcterms:W3CDTF">2024-08-20T09:23:00Z</dcterms:created>
  <dcterms:modified xsi:type="dcterms:W3CDTF">2024-08-28T16:55:00Z</dcterms:modified>
</cp:coreProperties>
</file>