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816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bidi="hi-IN" w:eastAsia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spacing w:after="0" w:line="240" w:lineRule="auto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/>
    </w:p>
    <w:p>
      <w:pPr>
        <w:ind w:firstLine="0"/>
        <w:spacing w:before="0" w:beforeAutospacing="0" w:after="0" w:line="240" w:lineRule="auto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23 серпня 2024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№ 257</w:t>
      </w:r>
      <w:r/>
    </w:p>
    <w:p>
      <w:pPr>
        <w:ind w:left="0" w:right="0" w:firstLine="0"/>
        <w:spacing w:before="0" w:after="0" w:line="240" w:lineRule="auto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sz w:val="28"/>
        </w:rPr>
      </w:r>
      <w:r/>
    </w:p>
    <w:p>
      <w:pPr>
        <w:ind w:left="0" w:right="5102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оновлений склад комісії по обстеженню земельних ділянок</w:t>
      </w:r>
      <w:r>
        <w:rPr>
          <w:b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 метою забезпечення якісної роботи комісії з проведенням обстеження земельних ділянок. які розташовані на території Менської міської територіальної громади, для забезпечення надходження коштів до міського бюджету від сплати за землю, враховуючи кадрові зм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іни та керуючись пунктом 20 частини 4 статті 42, статтею 50  Закону України «Про місцеве самоврядування в Україні»: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Затвердити оновлений склад комісії по обстеженню земельних ділянок, створеної розпорядженням міського голови від 18 липня 2023 року №298 «Про створення постійнодіючої комісії по обстеженню земельних ділянок» у складі:</w:t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ГАЄВОГО Сергія Миколайовича, </w:t>
      </w:r>
      <w:r>
        <w:rPr>
          <w:rFonts w:ascii="Times New Roman" w:hAnsi="Times New Roman" w:cs="Times New Roman" w:eastAsia="Times New Roman"/>
          <w:color w:val="000000"/>
          <w:spacing w:val="-2"/>
          <w:sz w:val="28"/>
        </w:rPr>
        <w:t xml:space="preserve">заступника міського голови з питань діяльності виконавчих органів ради Менської міської ради, голови комісії;</w:t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pacing w:val="-2"/>
          <w:sz w:val="28"/>
        </w:rPr>
        <w:t xml:space="preserve">СКИРТИ Оксана Віталіївни, начальника відділу земельних відносин, агропромислового комплексу та екології Менської міської ради, заступника голови комісії;</w:t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МОРОЗ Тетяни Олексіївни, провідного спеціаліста відділу земельних відносин, агропромислового комплексу та екології Менської міської ради, секретаря комісії;</w:t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Членів комісії:</w:t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БІЛОГУБА Ігоря Олексійовича, головного спеціаліста відділу земельних відносин, агропромислового комплексу та екології Менської міської ради.</w:t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МАРЦЕВОЇ Тетяни Іванівни, начальника юридичного відділу Менської міської ради;</w:t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ЧЕПУРКА Сергія Олександровича, депутата Менської міської ради, голови постійної комісії з питань містобудування, будівництва, земельних відносин та охорони природи (за згодою);</w:t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сертифікований інженер-землевпорядник (за згодою);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-1" w:firstLine="567"/>
        <w:jc w:val="both"/>
        <w:spacing w:before="0" w:after="0"/>
        <w:tabs>
          <w:tab w:val="left" w:pos="142" w:leader="none"/>
          <w:tab w:val="clear" w:pos="113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староста відповідного старостинського округу.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Контроль за виконанням рішення покласти на заступника міського голови</w:t>
      </w:r>
      <w:r>
        <w:rPr>
          <w:rFonts w:ascii="Times New Roman" w:hAnsi="Times New Roman" w:cs="Times New Roman" w:eastAsia="Times New Roman"/>
          <w:color w:val="000000"/>
          <w:spacing w:val="-2"/>
          <w:sz w:val="28"/>
        </w:rPr>
        <w:t xml:space="preserve"> з питань діяльності виконавчих органів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</w:t>
      </w:r>
      <w:r/>
    </w:p>
    <w:p>
      <w:pPr>
        <w:ind w:left="0" w:right="0" w:firstLine="0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before="0" w:after="0" w:line="240" w:lineRule="auto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before="0" w:after="0" w:line="240" w:lineRule="auto"/>
        <w:tabs>
          <w:tab w:val="clear" w:pos="1134" w:leader="none"/>
          <w:tab w:val="left" w:pos="6803" w:leader="none"/>
        </w:tabs>
        <w:rPr>
          <w:rFonts w:ascii="Times New Roman" w:hAnsi="Times New Roman" w:cs="Times New Roman" w:eastAsia="Times New Roman"/>
          <w:b w:val="0"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Секретар ради                                                                   Юрій СТАЛЬНИЧЕНКО</w:t>
      </w:r>
      <w:r>
        <w:rPr>
          <w:b w:val="0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17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27"/>
    <w:uiPriority w:val="99"/>
  </w:style>
  <w:style w:type="paragraph" w:styleId="687">
    <w:name w:val="endnote text"/>
    <w:basedOn w:val="865"/>
    <w:link w:val="688"/>
    <w:uiPriority w:val="99"/>
    <w:semiHidden/>
    <w:unhideWhenUsed/>
    <w:pPr>
      <w:spacing w:after="0" w:line="240" w:lineRule="auto"/>
    </w:pPr>
    <w:rPr>
      <w:sz w:val="20"/>
    </w:rPr>
  </w:style>
  <w:style w:type="character" w:styleId="688">
    <w:name w:val="Endnote Text Char"/>
    <w:link w:val="687"/>
    <w:uiPriority w:val="99"/>
    <w:rPr>
      <w:sz w:val="20"/>
    </w:rPr>
  </w:style>
  <w:style w:type="character" w:styleId="689">
    <w:name w:val="endnote reference"/>
    <w:basedOn w:val="866"/>
    <w:uiPriority w:val="99"/>
    <w:semiHidden/>
    <w:unhideWhenUsed/>
    <w:rPr>
      <w:vertAlign w:val="superscript"/>
    </w:rPr>
  </w:style>
  <w:style w:type="paragraph" w:styleId="690">
    <w:name w:val="table of figures"/>
    <w:basedOn w:val="865"/>
    <w:next w:val="865"/>
    <w:uiPriority w:val="99"/>
    <w:unhideWhenUsed/>
    <w:pPr>
      <w:spacing w:after="0" w:afterAutospacing="0"/>
    </w:pPr>
  </w:style>
  <w:style w:type="table" w:styleId="691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blStylePr w:type="band1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/>
      </w:tcPr>
    </w:tblStylePr>
    <w:tblStylePr w:type="band1Vert">
      <w:tcPr>
        <w:shd w:val="clear" w:color="auto" w:fill="ffffff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table" w:styleId="796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/>
      </w:tcPr>
    </w:tblStylePr>
  </w:style>
  <w:style w:type="paragraph" w:styleId="797">
    <w:name w:val="Heading 1"/>
    <w:basedOn w:val="865"/>
    <w:next w:val="865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98">
    <w:name w:val="Heading 1 Char"/>
    <w:basedOn w:val="866"/>
    <w:link w:val="797"/>
    <w:uiPriority w:val="9"/>
    <w:rPr>
      <w:rFonts w:ascii="Arial" w:hAnsi="Arial" w:cs="Arial" w:eastAsia="Arial"/>
      <w:sz w:val="40"/>
      <w:szCs w:val="40"/>
    </w:rPr>
  </w:style>
  <w:style w:type="paragraph" w:styleId="799">
    <w:name w:val="Heading 2"/>
    <w:basedOn w:val="865"/>
    <w:next w:val="865"/>
    <w:link w:val="8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800">
    <w:name w:val="Heading 2 Char"/>
    <w:basedOn w:val="866"/>
    <w:link w:val="799"/>
    <w:uiPriority w:val="9"/>
    <w:rPr>
      <w:rFonts w:ascii="Arial" w:hAnsi="Arial" w:cs="Arial" w:eastAsia="Arial"/>
      <w:sz w:val="34"/>
    </w:rPr>
  </w:style>
  <w:style w:type="paragraph" w:styleId="801">
    <w:name w:val="Heading 3"/>
    <w:basedOn w:val="865"/>
    <w:next w:val="865"/>
    <w:link w:val="8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802">
    <w:name w:val="Heading 3 Char"/>
    <w:basedOn w:val="866"/>
    <w:link w:val="801"/>
    <w:uiPriority w:val="9"/>
    <w:rPr>
      <w:rFonts w:ascii="Arial" w:hAnsi="Arial" w:cs="Arial" w:eastAsia="Arial"/>
      <w:sz w:val="30"/>
      <w:szCs w:val="30"/>
    </w:rPr>
  </w:style>
  <w:style w:type="paragraph" w:styleId="803">
    <w:name w:val="Heading 4"/>
    <w:basedOn w:val="865"/>
    <w:next w:val="865"/>
    <w:link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804">
    <w:name w:val="Heading 4 Char"/>
    <w:basedOn w:val="866"/>
    <w:link w:val="803"/>
    <w:uiPriority w:val="9"/>
    <w:rPr>
      <w:rFonts w:ascii="Arial" w:hAnsi="Arial" w:cs="Arial" w:eastAsia="Arial"/>
      <w:b/>
      <w:bCs/>
      <w:sz w:val="26"/>
      <w:szCs w:val="26"/>
    </w:rPr>
  </w:style>
  <w:style w:type="paragraph" w:styleId="805">
    <w:name w:val="Heading 5"/>
    <w:basedOn w:val="865"/>
    <w:next w:val="865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806">
    <w:name w:val="Heading 5 Char"/>
    <w:basedOn w:val="866"/>
    <w:link w:val="805"/>
    <w:uiPriority w:val="9"/>
    <w:rPr>
      <w:rFonts w:ascii="Arial" w:hAnsi="Arial" w:cs="Arial" w:eastAsia="Arial"/>
      <w:b/>
      <w:bCs/>
      <w:sz w:val="24"/>
      <w:szCs w:val="24"/>
    </w:rPr>
  </w:style>
  <w:style w:type="paragraph" w:styleId="807">
    <w:name w:val="Heading 6"/>
    <w:basedOn w:val="865"/>
    <w:next w:val="865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808">
    <w:name w:val="Heading 6 Char"/>
    <w:basedOn w:val="866"/>
    <w:link w:val="807"/>
    <w:uiPriority w:val="9"/>
    <w:rPr>
      <w:rFonts w:ascii="Arial" w:hAnsi="Arial" w:cs="Arial" w:eastAsia="Arial"/>
      <w:b/>
      <w:bCs/>
      <w:sz w:val="22"/>
      <w:szCs w:val="22"/>
    </w:rPr>
  </w:style>
  <w:style w:type="paragraph" w:styleId="809">
    <w:name w:val="Heading 7"/>
    <w:basedOn w:val="865"/>
    <w:next w:val="865"/>
    <w:link w:val="8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810">
    <w:name w:val="Heading 7 Char"/>
    <w:basedOn w:val="866"/>
    <w:link w:val="80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11">
    <w:name w:val="Heading 8"/>
    <w:basedOn w:val="865"/>
    <w:next w:val="865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812">
    <w:name w:val="Heading 8 Char"/>
    <w:basedOn w:val="866"/>
    <w:link w:val="811"/>
    <w:uiPriority w:val="9"/>
    <w:rPr>
      <w:rFonts w:ascii="Arial" w:hAnsi="Arial" w:cs="Arial" w:eastAsia="Arial"/>
      <w:i/>
      <w:iCs/>
      <w:sz w:val="22"/>
      <w:szCs w:val="22"/>
    </w:rPr>
  </w:style>
  <w:style w:type="paragraph" w:styleId="813">
    <w:name w:val="Heading 9"/>
    <w:basedOn w:val="865"/>
    <w:next w:val="865"/>
    <w:link w:val="8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14">
    <w:name w:val="Heading 9 Char"/>
    <w:basedOn w:val="866"/>
    <w:link w:val="813"/>
    <w:uiPriority w:val="9"/>
    <w:rPr>
      <w:rFonts w:ascii="Arial" w:hAnsi="Arial" w:cs="Arial" w:eastAsia="Arial"/>
      <w:i/>
      <w:iCs/>
      <w:sz w:val="21"/>
      <w:szCs w:val="21"/>
    </w:rPr>
  </w:style>
  <w:style w:type="paragraph" w:styleId="815">
    <w:name w:val="List Paragraph"/>
    <w:basedOn w:val="865"/>
    <w:uiPriority w:val="34"/>
    <w:qFormat/>
    <w:pPr>
      <w:contextualSpacing/>
      <w:ind w:left="720"/>
    </w:pPr>
  </w:style>
  <w:style w:type="paragraph" w:styleId="816">
    <w:name w:val="No Spacing"/>
    <w:uiPriority w:val="1"/>
    <w:qFormat/>
    <w:pPr>
      <w:spacing w:before="0" w:after="0" w:line="240" w:lineRule="auto"/>
    </w:pPr>
  </w:style>
  <w:style w:type="paragraph" w:styleId="817">
    <w:name w:val="Title"/>
    <w:basedOn w:val="865"/>
    <w:next w:val="865"/>
    <w:link w:val="8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8">
    <w:name w:val="Title Char"/>
    <w:basedOn w:val="866"/>
    <w:link w:val="817"/>
    <w:uiPriority w:val="10"/>
    <w:rPr>
      <w:sz w:val="48"/>
      <w:szCs w:val="48"/>
    </w:rPr>
  </w:style>
  <w:style w:type="paragraph" w:styleId="819">
    <w:name w:val="Subtitle"/>
    <w:basedOn w:val="865"/>
    <w:next w:val="865"/>
    <w:link w:val="820"/>
    <w:uiPriority w:val="11"/>
    <w:qFormat/>
    <w:pPr>
      <w:spacing w:before="200" w:after="200"/>
    </w:pPr>
    <w:rPr>
      <w:sz w:val="24"/>
      <w:szCs w:val="24"/>
    </w:rPr>
  </w:style>
  <w:style w:type="character" w:styleId="820">
    <w:name w:val="Subtitle Char"/>
    <w:basedOn w:val="866"/>
    <w:link w:val="819"/>
    <w:uiPriority w:val="11"/>
    <w:rPr>
      <w:sz w:val="24"/>
      <w:szCs w:val="24"/>
    </w:rPr>
  </w:style>
  <w:style w:type="paragraph" w:styleId="821">
    <w:name w:val="Quote"/>
    <w:basedOn w:val="865"/>
    <w:next w:val="865"/>
    <w:link w:val="822"/>
    <w:uiPriority w:val="29"/>
    <w:qFormat/>
    <w:pPr>
      <w:ind w:left="720" w:right="720"/>
    </w:pPr>
    <w:rPr>
      <w:i/>
    </w:rPr>
  </w:style>
  <w:style w:type="character" w:styleId="822">
    <w:name w:val="Quote Char"/>
    <w:link w:val="821"/>
    <w:uiPriority w:val="29"/>
    <w:rPr>
      <w:i/>
    </w:rPr>
  </w:style>
  <w:style w:type="paragraph" w:styleId="823">
    <w:name w:val="Intense Quote"/>
    <w:basedOn w:val="865"/>
    <w:next w:val="865"/>
    <w:link w:val="8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>
    <w:name w:val="Intense Quote Char"/>
    <w:link w:val="823"/>
    <w:uiPriority w:val="30"/>
    <w:rPr>
      <w:i/>
    </w:rPr>
  </w:style>
  <w:style w:type="paragraph" w:styleId="825">
    <w:name w:val="Header"/>
    <w:basedOn w:val="865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6">
    <w:name w:val="Header Char"/>
    <w:basedOn w:val="866"/>
    <w:link w:val="825"/>
    <w:uiPriority w:val="99"/>
  </w:style>
  <w:style w:type="paragraph" w:styleId="827">
    <w:name w:val="Footer"/>
    <w:basedOn w:val="865"/>
    <w:link w:val="8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8">
    <w:name w:val="Footer Char"/>
    <w:basedOn w:val="866"/>
    <w:link w:val="827"/>
    <w:uiPriority w:val="99"/>
  </w:style>
  <w:style w:type="table" w:styleId="829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Lined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31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32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33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834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35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36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37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38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39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40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41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42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43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44">
    <w:name w:val="Bordered &amp; Lined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4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4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4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84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4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5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5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66"/>
    <w:uiPriority w:val="99"/>
    <w:unhideWhenUsed/>
    <w:rPr>
      <w:vertAlign w:val="superscript"/>
    </w:rPr>
  </w:style>
  <w:style w:type="paragraph" w:styleId="855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 w:default="1">
    <w:name w:val="Normal"/>
    <w:qFormat/>
    <w:pPr>
      <w:ind w:left="0" w:right="0" w:firstLine="567"/>
      <w:jc w:val="both"/>
      <w:spacing w:before="0" w:after="0" w:line="240" w:lineRule="auto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cs="Times New Roman" w:eastAsia="Times New Roman"/>
      <w:sz w:val="28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16</cp:revision>
  <dcterms:modified xsi:type="dcterms:W3CDTF">2024-08-27T06:53:16Z</dcterms:modified>
</cp:coreProperties>
</file>