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  <w:t xml:space="preserve">Додаток </w:t>
      </w:r>
      <w:r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</w:r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  <w:t xml:space="preserve">рішення 50 сесії Менської міської ради 8 скликання №407 від 24 липня 2024 року</w:t>
      </w:r>
      <w:r>
        <w:rPr>
          <w:rFonts w:ascii="Times New Roman" w:hAnsi="Times New Roman" w:cs="Times New Roman" w:eastAsia="Times New Roman"/>
          <w:sz w:val="20"/>
          <w:szCs w:val="28"/>
          <w:highlight w:val="none"/>
          <w:lang w:val="uk-UA" w:eastAsia="zh-CN"/>
        </w:rPr>
      </w:r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sz w:val="28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Голові В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  <w:t xml:space="preserve">ерховної Ради України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  <w:t xml:space="preserve">Руслану СТЕФАНЧУКУ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  <w:t xml:space="preserve">Прем’єр-міністру України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  <w:t xml:space="preserve">Дени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су ШМИГАЛЮ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В листопаді 2023 року Верховна Рада України ухвалила зміни до бюджетного кодексу України, якими із доходів місцевих бюджетів вилучено частину податку на доходи фізичних осіб (да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лі ПДФО) від оподаткування доходів у вигляді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складу. Це призвело до втрати за перше півріччя поточного року 33,5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млн.грн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. доходів Менської міської територіальної громади (фактичні надходження загального фонду бюджету за перше півріччя без врахування трансфертів становлять 76,7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млн.грн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.).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Для порівняння зазначимо, що 33,5 млн. грн. - це більше, ніж кошти,  заплановані на 2024 рік на фінансування таких галузей як «Охорона здоров’я» (8,6 млн. грн.) та «Соціальний захист» (16,5 млн. грн.), або ж більше ніж вся дошкільна освіта громади (28,2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млн.грн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.).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Схвалена урядом бюджетна декларація на 2025-2027 роки передбачає зменшення ПДФО в місцеві бюджети до 60 відсотків. По факту першого півріччя поточного року ПДФО в бюджеті нашої громади становить 53% від власних надходжень загального фонду.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Також, слід зазначити, що при формуванні бюджету громади на 2024 рік обрахований обсяг доходів до бюджету Менської міської громади дозв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олив передбачити кошторисом видатки лише на 9 місяців для виплати заробітної плати працівникам бюджетної сфери установ, що підпорядковані міській громаді. Сума незабезпеченості (без урахуванням незабезпеченості в коштах освітньої субвенції) становить 34,5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млн.грн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Зважаючи на вищевикладене, для забезпечення повноцінного функціонування бюджетних установ громади та надання послуг жителям громади  просимо Вашого сприяння у внесенні змін до чинного законодавства, а саме: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ab/>
        <w:t xml:space="preserve">забезпечити з 2025 року зарахування до місцевих бюджетів ПДФО  з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складу;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ab/>
        <w:t xml:space="preserve">не допустити зменшення частки ПДФО, зарахованої до місцевих бюджетів з 64 до 60 відсотків;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ab/>
        <w:t xml:space="preserve">виділити субвенцію з державного бюджету місцевим бюджетам на компенсацію витрат на харчування дітей, постраждалих внаслідок воєнних дій;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ab/>
        <w:t xml:space="preserve">передбачити додаткову дотацію з державного бюджету на компенсацію втрат доходів місцевих бюджетів та на компенсацію виплат для надання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ind w:firstLine="567"/>
        <w:jc w:val="both"/>
        <w:spacing w:after="0" w:afterAutospacing="0"/>
        <w:rPr>
          <w:rFonts w:ascii="Times New Roman" w:hAnsi="Times New Roman" w:cs="Times New Roman" w:eastAsia="Times New Roman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Щиро вдячні за співпрацю та допомогу. </w:t>
      </w: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</w:r>
      <w:r/>
    </w:p>
    <w:p>
      <w:pPr>
        <w:jc w:val="both"/>
        <w:spacing w:after="0" w:afterAutospacing="0"/>
        <w:rPr>
          <w:rFonts w:ascii="Times New Roman" w:hAnsi="Times New Roman" w:cs="Times New Roman" w:eastAsia="Times New Roman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ind w:left="5669" w:right="0" w:firstLine="0"/>
        <w:jc w:val="both"/>
        <w:spacing w:after="0" w:afterAutospacing="0"/>
        <w:rPr>
          <w:rFonts w:ascii="Times New Roman" w:hAnsi="Times New Roman" w:cs="Times New Roman" w:eastAsia="Times New Roman"/>
          <w:highlight w:val="none"/>
          <w:lang w:val="uk-UA"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 w:eastAsia="zh-CN"/>
        </w:rPr>
        <w:t xml:space="preserve">Підтримано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  <w:t xml:space="preserve">рішенням 50 сесії Менської міської ради 8 скликання №407 від 24 липня 2024 року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val="uk-UA" w:eastAsia="zh-CN"/>
        </w:rPr>
      </w:r>
      <w:r/>
    </w:p>
    <w:p>
      <w:pPr>
        <w:spacing w:after="0" w:afterAutospacing="0"/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</cp:revision>
  <dcterms:created xsi:type="dcterms:W3CDTF">2019-03-29T20:09:00Z</dcterms:created>
  <dcterms:modified xsi:type="dcterms:W3CDTF">2024-07-25T18:09:13Z</dcterms:modified>
</cp:coreProperties>
</file>