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ind w:left="5669"/>
        <w:jc w:val="both"/>
        <w:pageBreakBefore/>
        <w:spacing w:lineRule="auto" w:line="240" w:after="0"/>
      </w:pPr>
      <w:r>
        <w:rPr>
          <w:rFonts w:ascii="Times New Roman" w:hAnsi="Times New Roman"/>
          <w:color w:val="000000"/>
          <w:sz w:val="28"/>
          <w:szCs w:val="24"/>
        </w:rPr>
        <w:t xml:space="preserve">ЗАТВЕРДЖЕНО                  ріше</w:t>
      </w:r>
      <w:r>
        <w:rPr>
          <w:rFonts w:ascii="Times New Roman" w:hAnsi="Times New Roman"/>
          <w:sz w:val="28"/>
          <w:szCs w:val="24"/>
        </w:rPr>
        <w:t xml:space="preserve">ння 49 сесії Менської міської ради 8 скликання 26.06.2024 № </w:t>
      </w:r>
      <w:r>
        <w:rPr>
          <w:rFonts w:ascii="Times New Roman" w:hAnsi="Times New Roman"/>
          <w:sz w:val="28"/>
          <w:szCs w:val="24"/>
        </w:rPr>
        <w:t xml:space="preserve">329</w:t>
      </w:r>
      <w:bookmarkStart w:id="0" w:name="_GoBack"/>
      <w:r/>
      <w:bookmarkEnd w:id="0"/>
      <w:r>
        <w:rPr>
          <w:rFonts w:ascii="Times New Roman" w:hAnsi="Times New Roman"/>
          <w:sz w:val="28"/>
          <w:szCs w:val="24"/>
        </w:rPr>
        <w:t xml:space="preserve"> </w:t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Положення про конкурс</w:t>
      </w:r>
      <w:r>
        <w:rPr>
          <w:b/>
          <w:lang w:val="uk-UA"/>
        </w:rPr>
        <w:t xml:space="preserve"> </w:t>
      </w:r>
      <w:r>
        <w:rPr>
          <w:b/>
          <w:bCs/>
          <w:iCs/>
          <w:lang w:val="uk-UA"/>
        </w:rPr>
        <w:t xml:space="preserve">на посаду директора та педагогічних працівників</w:t>
      </w:r>
      <w:r>
        <w:rPr>
          <w:b/>
          <w:lang w:val="uk-UA"/>
        </w:rPr>
        <w:t xml:space="preserve"> </w:t>
      </w:r>
      <w:r>
        <w:rPr>
          <w:b/>
          <w:bCs/>
          <w:iCs/>
          <w:lang w:val="uk-UA"/>
        </w:rPr>
        <w:t xml:space="preserve">Комунальної установи  «Центр професійного розвитку</w:t>
      </w:r>
      <w:r>
        <w:rPr>
          <w:b/>
          <w:lang w:val="uk-UA"/>
        </w:rPr>
        <w:t xml:space="preserve"> </w:t>
      </w:r>
      <w:r>
        <w:rPr>
          <w:b/>
          <w:bCs/>
          <w:iCs/>
          <w:lang w:val="uk-UA"/>
        </w:rPr>
        <w:t xml:space="preserve">педагогічних працівників»</w:t>
      </w:r>
      <w:r>
        <w:rPr>
          <w:b/>
          <w:bCs/>
          <w:iCs/>
          <w:lang w:val="uk-UA"/>
        </w:rPr>
        <w:t xml:space="preserve"> Менської міської ради </w:t>
      </w:r>
      <w:r/>
    </w:p>
    <w:p>
      <w:pPr>
        <w:pStyle w:val="910"/>
        <w:rPr>
          <w:lang w:bidi="en-US"/>
        </w:rPr>
      </w:pPr>
      <w:r>
        <w:rPr>
          <w:lang w:bidi="en-US"/>
        </w:rPr>
      </w:r>
      <w:r/>
    </w:p>
    <w:p>
      <w:pPr>
        <w:ind w:firstLine="567"/>
        <w:rPr>
          <w:lang w:val="uk-UA"/>
        </w:rPr>
        <w:suppressLineNumbers w:val="0"/>
      </w:pPr>
      <w:r>
        <w:rPr>
          <w:lang w:val="uk-UA"/>
        </w:rPr>
        <w:t xml:space="preserve">1. Це Положення визначає загальні засади проведення конкурсу на посаду директора та </w:t>
      </w:r>
      <w:r>
        <w:rPr>
          <w:lang w:val="uk-UA"/>
        </w:rPr>
        <w:t xml:space="preserve">педагогічних </w:t>
      </w:r>
      <w:r>
        <w:rPr>
          <w:lang w:val="uk-UA"/>
        </w:rPr>
        <w:t xml:space="preserve">працівників Комунальної установи «Центр професійного розвитку педагогічних працівників Менської міської ради» (далі-Центр).</w:t>
      </w:r>
      <w:r/>
    </w:p>
    <w:p>
      <w:pPr>
        <w:ind w:firstLine="567"/>
        <w:rPr>
          <w:lang w:val="uk-UA"/>
        </w:rPr>
      </w:pPr>
      <w:r>
        <w:rPr>
          <w:lang w:val="uk-UA"/>
        </w:rPr>
        <w:t xml:space="preserve">2. Положен</w:t>
      </w:r>
      <w:r>
        <w:rPr>
          <w:lang w:val="uk-UA"/>
        </w:rPr>
        <w:t xml:space="preserve">ня розроблено відповідно до Конституції України, Кодексу Законів</w:t>
      </w:r>
      <w:r>
        <w:rPr>
          <w:lang w:val="uk-UA"/>
        </w:rPr>
        <w:t xml:space="preserve"> про працю України, Законів України «Про місцеве самоврядування в Україні», «Про освіту», «Про повну загальну середню освіту», «Про дошкільну освіту», «Про позашкільну освіту», «Про захист пер</w:t>
      </w:r>
      <w:r>
        <w:rPr>
          <w:lang w:val="uk-UA"/>
        </w:rPr>
        <w:t xml:space="preserve">сональних даних», «Про запобігання корупції» тощо.</w:t>
      </w:r>
      <w:r>
        <w:rPr>
          <w:lang w:val="uk-UA"/>
        </w:rPr>
      </w:r>
    </w:p>
    <w:p>
      <w:pPr>
        <w:ind w:firstLine="567"/>
        <w:rPr>
          <w:lang w:val="uk-UA"/>
        </w:rPr>
      </w:pPr>
      <w:r>
        <w:rPr>
          <w:lang w:val="uk-UA"/>
        </w:rPr>
        <w:t xml:space="preserve">3. На посаду </w:t>
      </w:r>
      <w:r>
        <w:rPr>
          <w:lang w:val="uk-UA"/>
        </w:rPr>
        <w:t xml:space="preserve">директора та педагогічних працівників Центру призначаються особи, які є громадянами </w:t>
      </w:r>
      <w:r>
        <w:rPr>
          <w:lang w:val="uk-UA"/>
        </w:rPr>
        <w:t xml:space="preserve">України, вільно володіють державною мовою, мають вищу педагогічну освіту ступеня не нижче </w:t>
      </w:r>
      <w:r>
        <w:rPr>
          <w:lang w:val="uk-UA"/>
        </w:rPr>
        <w:t xml:space="preserve">магістра (спеціалі</w:t>
      </w:r>
      <w:r>
        <w:rPr>
          <w:lang w:val="uk-UA"/>
        </w:rPr>
        <w:t xml:space="preserve">ста), </w:t>
      </w:r>
      <w:r>
        <w:rPr>
          <w:lang w:val="uk-UA"/>
        </w:rPr>
        <w:t xml:space="preserve">стаж педагогічної та/або науково-педагогічної роботи не менш як п’ять років, досвід впровадження  інновацій, педагогічних новацій і технологій у системі освіти, у тому числі інформаційно-комунікаційних; планування та визначення траєкторії професійног</w:t>
      </w:r>
      <w:r>
        <w:rPr>
          <w:lang w:val="uk-UA"/>
        </w:rPr>
        <w:t xml:space="preserve">о розвитку педагогічних працівників, розробки документів закладу освіти, особливостей організації освітнього процесу за різними формами здобуття освіти, у тому числі з використанням технологій дистанційного навчання, впровадження компетентнісного, особисті</w:t>
      </w:r>
      <w:r>
        <w:rPr>
          <w:lang w:val="uk-UA"/>
        </w:rPr>
        <w:t xml:space="preserve">сно орієнтовного, діяльнісного, інклюзивного підходів до навчання здобувачів освіти і нових освітній технологій, має навички роботи у системі програмного забезпечення Microsoft Office, Microsoft Power Point, Zoom тощо, а також за станом здоров'я можуть вик</w:t>
      </w:r>
      <w:r>
        <w:rPr>
          <w:lang w:val="uk-UA"/>
        </w:rPr>
        <w:t xml:space="preserve">онувати професійні обов'язки, пройшли конкурсний відбір та визнані переможцями конкурсу, відповідно до порядку, затвердженого засновником Центру - Менською міською радою.</w:t>
      </w:r>
      <w:r>
        <w:rPr>
          <w:lang w:val="uk-UA"/>
        </w:rPr>
      </w:r>
    </w:p>
    <w:p>
      <w:pPr>
        <w:ind w:firstLine="567"/>
        <w:rPr>
          <w:lang w:val="uk-UA"/>
        </w:rPr>
      </w:pPr>
      <w:r>
        <w:rPr>
          <w:lang w:val="uk-UA"/>
        </w:rPr>
        <w:t xml:space="preserve">Кандидат на посаду директора Центру додатково </w:t>
      </w:r>
      <w:r>
        <w:rPr>
          <w:lang w:val="uk-UA"/>
        </w:rPr>
        <w:t xml:space="preserve">розробляє і </w:t>
      </w:r>
      <w:r>
        <w:rPr>
          <w:lang w:val="uk-UA"/>
        </w:rPr>
        <w:t xml:space="preserve">подає</w:t>
      </w:r>
      <w:r>
        <w:rPr>
          <w:lang w:val="uk-UA"/>
        </w:rPr>
        <w:t xml:space="preserve"> власне бачення</w:t>
      </w:r>
      <w:r>
        <w:rPr>
          <w:lang w:val="uk-UA"/>
        </w:rPr>
        <w:t xml:space="preserve"> розвит</w:t>
      </w:r>
      <w:r>
        <w:rPr>
          <w:lang w:val="uk-UA"/>
        </w:rPr>
        <w:t xml:space="preserve">ку Центру.</w:t>
      </w:r>
      <w:r>
        <w:rPr>
          <w:lang w:val="uk-UA"/>
        </w:rPr>
      </w:r>
    </w:p>
    <w:p>
      <w:pPr>
        <w:ind w:firstLine="567"/>
        <w:rPr>
          <w:lang w:val="uk-UA"/>
        </w:rPr>
      </w:pPr>
      <w:r>
        <w:rPr>
          <w:lang w:val="uk-UA"/>
        </w:rPr>
        <w:t xml:space="preserve">4. </w:t>
      </w:r>
      <w:r>
        <w:rPr>
          <w:lang w:val="uk-UA"/>
        </w:rPr>
        <w:t xml:space="preserve">Засновником Центру – є Менська міська рада (далі – Засновник). Уповноваженим органом є Відділ освіти Менської міської ради (далі – Орган управління).</w:t>
      </w:r>
      <w:r>
        <w:rPr>
          <w:lang w:val="uk-UA"/>
        </w:rPr>
      </w:r>
    </w:p>
    <w:p>
      <w:pPr>
        <w:ind w:firstLine="567"/>
        <w:rPr>
          <w:lang w:val="uk-UA"/>
        </w:rPr>
      </w:pPr>
      <w:r>
        <w:rPr>
          <w:sz w:val="28"/>
          <w:szCs w:val="28"/>
          <w:lang w:val="uk-UA"/>
        </w:rPr>
        <w:t xml:space="preserve">Орган управління</w:t>
      </w:r>
      <w:r>
        <w:rPr>
          <w:lang w:val="uk-UA"/>
        </w:rPr>
        <w:t xml:space="preserve"> </w:t>
      </w:r>
      <w:r>
        <w:rPr>
          <w:sz w:val="28"/>
          <w:szCs w:val="28"/>
          <w:lang w:val="uk-UA" w:bidi="en-US"/>
        </w:rPr>
        <w:t xml:space="preserve">організовує та проводить конкурси на зайняття посади директора та педагогіч</w:t>
      </w:r>
      <w:r>
        <w:rPr>
          <w:sz w:val="28"/>
          <w:szCs w:val="28"/>
          <w:lang w:val="uk-UA" w:bidi="en-US"/>
        </w:rPr>
        <w:t xml:space="preserve">них працівників (консультантів, практичних психологів) Центру.</w:t>
      </w:r>
      <w:r>
        <w:rPr>
          <w:lang w:val="uk-UA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5. Не можуть обіймати посаду директора та педагогічних працівників Центру  особи</w:t>
      </w:r>
      <w:r>
        <w:rPr>
          <w:rFonts w:ascii="Times New Roman" w:hAnsi="Times New Roman"/>
          <w:sz w:val="28"/>
          <w:szCs w:val="28"/>
        </w:rPr>
        <w:t xml:space="preserve">, які:</w:t>
      </w:r>
      <w:r/>
    </w:p>
    <w:p>
      <w:pPr>
        <w:ind w:firstLine="567"/>
        <w:rPr>
          <w:sz w:val="28"/>
          <w:szCs w:val="28"/>
          <w:lang w:val="uk-UA"/>
        </w:rPr>
      </w:pPr>
      <w:r>
        <w:t xml:space="preserve">1) є н</w:t>
      </w:r>
      <w:r>
        <w:rPr>
          <w:lang w:val="uk-UA"/>
        </w:rPr>
        <w:t xml:space="preserve">едієздатними або цивільна дієздатність яких обмежена;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2) мають судимість за вчинення злочину;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3) по</w:t>
      </w:r>
      <w:r>
        <w:rPr>
          <w:lang w:val="uk-UA"/>
        </w:rPr>
        <w:t xml:space="preserve">збавлені права обіймати відповідну посаду;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4) за рішенням суду визнані винними у вчиненні корупційного правопорушення;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5) за рішенням суду визнані винними у вчиненні правопорушення, пов’язаного з корупцією;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6) підпадають під заборону, встановлену </w:t>
      </w:r>
      <w:hyperlink r:id="rId16" w:tooltip="https://zakon.rada.gov.ua/laws/show/1682-18" w:history="1">
        <w:r>
          <w:rPr>
            <w:lang w:val="uk-UA"/>
          </w:rPr>
          <w:t xml:space="preserve">Законом України</w:t>
        </w:r>
      </w:hyperlink>
      <w:r>
        <w:rPr>
          <w:lang w:val="uk-UA"/>
        </w:rPr>
        <w:t xml:space="preserve"> «Про очищення влади».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6. Кандидатів на посаду директора та педагогічних працівників Центру  визначає конкурсна комісія за результатам</w:t>
      </w:r>
      <w:r>
        <w:rPr>
          <w:lang w:val="uk-UA"/>
        </w:rPr>
        <w:t xml:space="preserve">и відкритого та публічного конкурсного відбору на зайняття цих посад.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7. Підставою для проведення конкурсу є </w:t>
      </w:r>
      <w:r>
        <w:rPr>
          <w:lang w:val="uk-UA"/>
        </w:rPr>
        <w:t xml:space="preserve">наказ начальника Відділу освіти Менської міської ради.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8. Конкурс складається з таких етапів: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прийняття рішення про проведення конкурсу та затвер</w:t>
      </w:r>
      <w:r>
        <w:rPr>
          <w:lang w:val="uk-UA"/>
        </w:rPr>
        <w:t xml:space="preserve">дження складу конкурсної комісії;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оприлюднення оголошення про проведення конкурсу</w:t>
      </w:r>
      <w:r>
        <w:rPr>
          <w:lang w:val="uk-UA"/>
        </w:rPr>
        <w:t xml:space="preserve"> на офіційному веб-сайті Засновника Центру</w:t>
      </w:r>
      <w:r>
        <w:rPr>
          <w:lang w:val="uk-UA"/>
        </w:rPr>
        <w:t xml:space="preserve"> та Органу управління;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проведення конкурсного відбору;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визначення переможця конкурсу;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оприлюднення результатів конкурсу.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9. </w:t>
      </w:r>
      <w:r>
        <w:rPr>
          <w:lang w:val="uk-UA"/>
        </w:rPr>
        <w:t xml:space="preserve">Оголошення про проведення конкурсу оприлюднюється наступного робочого дня після прийняття рішення про проведення конкурсу на офіційному веб-сайті  </w:t>
      </w:r>
      <w:r>
        <w:rPr>
          <w:lang w:val="uk-UA"/>
        </w:rPr>
        <w:t xml:space="preserve">Відділу освіти Менської міської ради та </w:t>
      </w:r>
      <w:r>
        <w:rPr>
          <w:lang w:val="uk-UA"/>
        </w:rPr>
        <w:t xml:space="preserve">Менської міської ради і має містити: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найменування і місце</w:t>
      </w:r>
      <w:r>
        <w:rPr>
          <w:lang w:val="uk-UA"/>
        </w:rPr>
        <w:t xml:space="preserve"> </w:t>
      </w:r>
      <w:r>
        <w:rPr>
          <w:lang w:val="uk-UA"/>
        </w:rPr>
        <w:t xml:space="preserve">знаходжен</w:t>
      </w:r>
      <w:r>
        <w:rPr>
          <w:lang w:val="uk-UA"/>
        </w:rPr>
        <w:t xml:space="preserve">ня Центру;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найменування посади та умови оплати праці;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кваліфікаційні вимоги до директора та педагогічних працівників Центру відповідно до постанови Кабінету Міністрів України </w:t>
      </w:r>
      <w:r>
        <w:rPr>
          <w:lang w:val="uk-UA"/>
        </w:rPr>
        <w:t xml:space="preserve">від 29.07.2020 №672 «Деякі питання професійного розвитку педагогічних працівн</w:t>
      </w:r>
      <w:r>
        <w:rPr>
          <w:lang w:val="uk-UA"/>
        </w:rPr>
        <w:t xml:space="preserve">иків»</w:t>
      </w:r>
      <w:r>
        <w:rPr>
          <w:lang w:val="uk-UA"/>
        </w:rPr>
        <w:t xml:space="preserve"> (зі змінами та доповненнями)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вичерпний перелік</w:t>
      </w:r>
      <w:r>
        <w:rPr>
          <w:lang w:val="uk-UA"/>
        </w:rPr>
        <w:t xml:space="preserve"> документів</w:t>
      </w:r>
      <w:r>
        <w:rPr>
          <w:lang w:val="uk-UA"/>
        </w:rPr>
        <w:t xml:space="preserve">, кінцевий строк і місце подання документів для участі в конкурсі;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дату та місце початку конкурсного відбору</w:t>
      </w:r>
      <w:r>
        <w:rPr>
          <w:lang w:val="uk-UA"/>
        </w:rPr>
        <w:t xml:space="preserve">, етапи його проведення та тривалість;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прізвище та ім’я, номер телефону та адр</w:t>
      </w:r>
      <w:r>
        <w:rPr>
          <w:lang w:val="uk-UA"/>
        </w:rPr>
        <w:t xml:space="preserve">есу електронної пошти особи, уповноваженої надавати інформацію про конкурс та приймати документи для участі в конкурсі.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10. Для участі в конкурсі подаються такі документи: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заява про участь у конкурсі</w:t>
      </w:r>
      <w:r>
        <w:rPr>
          <w:lang w:val="uk-UA"/>
        </w:rPr>
        <w:t xml:space="preserve"> за формою, наведеною в Додатку до цього Положення, з н</w:t>
      </w:r>
      <w:r>
        <w:rPr>
          <w:lang w:val="uk-UA"/>
        </w:rPr>
        <w:t xml:space="preserve">аданням згоди на обробку персональних даних відповідно до </w:t>
      </w:r>
      <w:hyperlink r:id="rId17" w:tooltip="http://zakon2.rada.gov.ua/laws/show/2297-17" w:history="1">
        <w:r>
          <w:rPr>
            <w:lang w:val="uk-UA"/>
          </w:rPr>
          <w:t xml:space="preserve">Закону України</w:t>
        </w:r>
      </w:hyperlink>
      <w:r>
        <w:rPr>
          <w:lang w:val="uk-UA"/>
        </w:rPr>
        <w:t xml:space="preserve"> «Про захист персональних даних»;</w:t>
      </w:r>
      <w:r>
        <w:rPr>
          <w:lang w:val="uk-UA"/>
        </w:rPr>
        <w:t xml:space="preserve"> 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 автобіографія та/або резюме (за вибор</w:t>
      </w:r>
      <w:r>
        <w:rPr>
          <w:lang w:val="uk-UA"/>
        </w:rPr>
        <w:t xml:space="preserve">ом учасника конкурсу);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копія паспорта громадянина України;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копія документа про вищу освіту (з додатком, що є його невід’ємною частиною) не нижче освітнього ступеня магістра (спеціаліста);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документ, що підтверджує володіння державною мовою: свідоцтво </w:t>
      </w:r>
      <w:r>
        <w:rPr>
          <w:lang w:val="uk-UA"/>
        </w:rPr>
        <w:t xml:space="preserve"> про повну загальну середню освіту /атестат про повну загальну середню освіту    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мовою, щ</w:t>
      </w:r>
      <w:r>
        <w:rPr>
          <w:lang w:val="uk-UA"/>
        </w:rPr>
        <w:t xml:space="preserve">о видається Національною комісією зі стандартів державної мови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 копія трудової книжки чи інших документів, що підтверджують стаж педагогічної (науково-педагогічної) роботи не менш</w:t>
      </w:r>
      <w:r>
        <w:rPr>
          <w:lang w:val="uk-UA"/>
        </w:rPr>
        <w:t xml:space="preserve">е</w:t>
      </w:r>
      <w:r>
        <w:rPr>
          <w:lang w:val="uk-UA"/>
        </w:rPr>
        <w:t xml:space="preserve"> п</w:t>
      </w:r>
      <w:r>
        <w:rPr>
          <w:lang w:val="uk-UA"/>
        </w:rPr>
        <w:t xml:space="preserve">’яти</w:t>
      </w:r>
      <w:r>
        <w:rPr>
          <w:lang w:val="uk-UA"/>
        </w:rPr>
        <w:t xml:space="preserve"> років на день їх подання;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мотиваційний лист</w:t>
      </w:r>
      <w:r>
        <w:rPr>
          <w:lang w:val="uk-UA"/>
        </w:rPr>
        <w:t xml:space="preserve">,</w:t>
      </w:r>
      <w:r>
        <w:rPr>
          <w:lang w:val="uk-UA"/>
        </w:rPr>
        <w:t xml:space="preserve"> складений у </w:t>
      </w:r>
      <w:r>
        <w:rPr>
          <w:lang w:val="uk-UA"/>
        </w:rPr>
        <w:t xml:space="preserve">довільній формі.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Особа може подати інші документи, що підтверджують її професійні та/або моральні якості.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Визначені у цьому пункті документи подаються особисто (або уповноваженою</w:t>
      </w:r>
      <w:r>
        <w:rPr>
          <w:lang w:val="uk-UA"/>
        </w:rPr>
        <w:t xml:space="preserve">,</w:t>
      </w:r>
      <w:r>
        <w:rPr>
          <w:lang w:val="uk-UA"/>
        </w:rPr>
        <w:t xml:space="preserve"> згідно з довіреністю</w:t>
      </w:r>
      <w:r>
        <w:rPr>
          <w:lang w:val="uk-UA"/>
        </w:rPr>
        <w:t xml:space="preserve">,</w:t>
      </w:r>
      <w:r>
        <w:rPr>
          <w:lang w:val="uk-UA"/>
        </w:rPr>
        <w:t xml:space="preserve"> особою) до конкурсної комісії у визначений в оголошенн</w:t>
      </w:r>
      <w:r>
        <w:rPr>
          <w:lang w:val="uk-UA"/>
        </w:rPr>
        <w:t xml:space="preserve">і строк, що може становити від 20 до 30 календарних днів з дня оприлюднення оголошення про проведення конкурсу.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Уповноважена особа приймає документи за описом, копію якого надає особі, яка їх подає.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 на посаду директора </w:t>
      </w:r>
      <w:r>
        <w:rPr>
          <w:sz w:val="28"/>
          <w:szCs w:val="28"/>
          <w:lang w:val="uk-UA"/>
        </w:rPr>
        <w:t xml:space="preserve">Центру</w:t>
      </w:r>
      <w:r>
        <w:rPr>
          <w:sz w:val="28"/>
          <w:szCs w:val="28"/>
          <w:lang w:val="uk-UA"/>
        </w:rPr>
        <w:t xml:space="preserve"> та </w:t>
      </w:r>
      <w:r>
        <w:rPr>
          <w:bCs/>
          <w:iCs/>
          <w:sz w:val="28"/>
          <w:szCs w:val="28"/>
          <w:lang w:val="uk-UA"/>
        </w:rPr>
        <w:t xml:space="preserve">педагогічних пра</w:t>
      </w:r>
      <w:r>
        <w:rPr>
          <w:bCs/>
          <w:iCs/>
          <w:sz w:val="28"/>
          <w:szCs w:val="28"/>
          <w:lang w:val="uk-UA"/>
        </w:rPr>
        <w:t xml:space="preserve">цівників</w:t>
      </w:r>
      <w:r>
        <w:rPr>
          <w:sz w:val="28"/>
          <w:szCs w:val="28"/>
          <w:lang w:val="uk-UA"/>
        </w:rPr>
        <w:t xml:space="preserve"> має право відкликати свою заяву та документи до кінцевого строку їх прийняття, повідомивши про це письмово комісію.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достовірність поданих документів несе заявник.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11. Для проведення конкурсного відбору на посаду директора </w:t>
      </w:r>
      <w:r>
        <w:rPr>
          <w:lang w:val="uk-UA"/>
        </w:rPr>
        <w:t xml:space="preserve">та пе</w:t>
      </w:r>
      <w:r>
        <w:rPr>
          <w:lang w:val="uk-UA"/>
        </w:rPr>
        <w:t xml:space="preserve">дагогічних працівників (консультантів, практичних психологів </w:t>
      </w:r>
      <w:r>
        <w:rPr>
          <w:lang w:val="uk-UA"/>
        </w:rPr>
        <w:t xml:space="preserve">Центру</w:t>
      </w:r>
      <w:r>
        <w:rPr>
          <w:lang w:val="uk-UA"/>
        </w:rPr>
        <w:t xml:space="preserve">)</w:t>
      </w:r>
      <w:r>
        <w:rPr>
          <w:lang w:val="uk-UA"/>
        </w:rPr>
        <w:t xml:space="preserve"> утворюється конкурсна комісія </w:t>
      </w:r>
      <w:r>
        <w:rPr>
          <w:lang w:val="uk-UA"/>
        </w:rPr>
        <w:t xml:space="preserve">наказом начальника Відділу освіти Менської міської ради.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До складу конкурсної комісії не може бути включена особа, яка: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визнана в установленому законом пор</w:t>
      </w:r>
      <w:r>
        <w:rPr>
          <w:lang w:val="uk-UA"/>
        </w:rPr>
        <w:t xml:space="preserve">ядку недієздатною або цивільна дієздатність якої обмежена;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відповідно до </w:t>
      </w:r>
      <w:hyperlink r:id="rId18" w:tooltip="https://zakon.rada.gov.ua/laws/show/1700-18" w:history="1">
        <w:r>
          <w:rPr>
            <w:lang w:val="uk-UA"/>
          </w:rPr>
          <w:t xml:space="preserve">Закону України</w:t>
        </w:r>
      </w:hyperlink>
      <w:r>
        <w:rPr>
          <w:lang w:val="uk-UA"/>
        </w:rPr>
        <w:t xml:space="preserve"> </w:t>
      </w:r>
      <w:r>
        <w:rPr>
          <w:lang w:val="uk-UA"/>
        </w:rPr>
        <w:t xml:space="preserve">«Про запобігання корупції» є близькою особою учасника конкурсу або особою, яка може мати конфлікт інтересів.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14. Члени конкурсної комісії зобов’язані: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брати участь у роботі конкурсної комісії та голосувати з питань порядку денного;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 заявляти самовідвід у разі наявності чи настання підстав, передбачених </w:t>
      </w:r>
      <w:hyperlink r:id="rId19" w:tooltip="https://zakon.rada.gov.ua/laws/show/1700-18" w:history="1">
        <w:r>
          <w:rPr>
            <w:lang w:val="uk-UA"/>
          </w:rPr>
          <w:t xml:space="preserve">Законами України</w:t>
        </w:r>
      </w:hyperlink>
      <w:r>
        <w:rPr>
          <w:lang w:val="uk-UA"/>
        </w:rPr>
        <w:t xml:space="preserve">  «Про запобігання корупції», що унеможливлюють їх участь у складі конкурсної комісії.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15. Конкурсна комісія є повноважною за умови присутності на засіданні не менше двох третин її затвердженого складу.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Конкурсна комісія приймає ріше</w:t>
      </w:r>
      <w:r>
        <w:rPr>
          <w:lang w:val="uk-UA"/>
        </w:rPr>
        <w:t xml:space="preserve">ння більшістю голосів від її затвердженого складу. У разі рівного розподілу голосів вирішальним є голос голови конкурсної комісії.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</w:t>
      </w:r>
      <w:r>
        <w:rPr>
          <w:lang w:val="uk-UA"/>
        </w:rPr>
        <w:t xml:space="preserve">озорості, доброчесності.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Не допускаються будь які втручання в діяльність конкурсної комісії, тиск на членів комісії та учасників конкурсу.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16. Протягом п’яти робочих днів з дня завершення строку подання документів для участі в конкурсі конкурсна комісія: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</w:t>
      </w:r>
      <w:r>
        <w:rPr>
          <w:lang w:val="uk-UA"/>
        </w:rPr>
        <w:t xml:space="preserve"> перевіряє подані документи щодо відповідності установленим вимогам;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приймає рішення про допущення та/або недопущення до участі у конкурсі;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До участі у конкурсі не можуть бути допущені особи, які: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не можуть обіймати посаду директора та педагогічних пра</w:t>
      </w:r>
      <w:r>
        <w:rPr>
          <w:lang w:val="uk-UA"/>
        </w:rPr>
        <w:t xml:space="preserve">цівників відповідно постанови Кабінету Міністрів України від 29.07.2020 №672 «Деякі питання професійного розвитку педагогічних працівників»;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подали не всі документи, визначені цим Положенням, для участі в конкурсі;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подали документи після завершення стр</w:t>
      </w:r>
      <w:r>
        <w:rPr>
          <w:lang w:val="uk-UA"/>
        </w:rPr>
        <w:t xml:space="preserve">оку їх подання.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17. Конкурсний відбір переможців конкурсу здійснюється за результатами: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перевірки знання законодавства у сфері освіти: зокрема  Закону України «Про освіту» «Про повну загальну середню освіту», «Про дошкільну освіту», «Про позашкільну </w:t>
      </w:r>
      <w:r>
        <w:rPr>
          <w:lang w:val="uk-UA"/>
        </w:rPr>
        <w:t xml:space="preserve">освіту»;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перевірки професійних компетентностей шляхом письмового виконання практичного завдання;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співбесіди з кандидатами на посади з питань  виконання основних завдань покладених на Центр постановою Кабінету Міністрів України від 29.07.2020 №672 «Деяк</w:t>
      </w:r>
      <w:r>
        <w:rPr>
          <w:lang w:val="uk-UA"/>
        </w:rPr>
        <w:t xml:space="preserve">і питання професійного розвитку педагогічних працівників»</w:t>
      </w:r>
      <w:r>
        <w:rPr>
          <w:lang w:val="uk-UA"/>
        </w:rPr>
        <w:t xml:space="preserve"> (зі змінами та доповненнями)</w:t>
      </w:r>
      <w:r>
        <w:rPr>
          <w:lang w:val="uk-UA"/>
        </w:rPr>
        <w:t xml:space="preserve">. Перевірка знання законодавства проводиться у формі письмового тестування.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Перелік питань для перевірки знання законодавства у сфері освіти</w:t>
      </w:r>
      <w:r>
        <w:rPr>
          <w:lang w:val="uk-UA"/>
        </w:rPr>
        <w:t xml:space="preserve">,</w:t>
      </w:r>
      <w:r>
        <w:rPr>
          <w:lang w:val="uk-UA"/>
        </w:rPr>
        <w:t xml:space="preserve"> зразок практичного завдання </w:t>
      </w:r>
      <w:r>
        <w:rPr>
          <w:lang w:val="uk-UA"/>
        </w:rPr>
        <w:t xml:space="preserve">розробляються та затверджуються </w:t>
      </w:r>
      <w:r>
        <w:rPr>
          <w:lang w:val="uk-UA"/>
        </w:rPr>
        <w:t xml:space="preserve">наказом начальника Відділу освіти </w:t>
      </w:r>
      <w:r>
        <w:rPr>
          <w:lang w:val="uk-UA"/>
        </w:rPr>
        <w:t xml:space="preserve">Менської міської ради  не пізніше 20 робочих днів до початку проведення конкурсу та оприлюднюються на </w:t>
      </w:r>
      <w:r>
        <w:rPr>
          <w:lang w:val="uk-UA"/>
        </w:rPr>
        <w:t xml:space="preserve">офіційному </w:t>
      </w:r>
      <w:r>
        <w:rPr>
          <w:lang w:val="uk-UA"/>
        </w:rPr>
        <w:t xml:space="preserve">веб-сайті </w:t>
      </w:r>
      <w:r>
        <w:rPr>
          <w:lang w:val="uk-UA"/>
        </w:rPr>
        <w:t xml:space="preserve">Відділу освіти та Засновника.</w:t>
      </w:r>
      <w:r>
        <w:rPr>
          <w:lang w:val="uk-UA"/>
        </w:rPr>
        <w:t xml:space="preserve"> 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Конкурсна комісія протягом двох робо</w:t>
      </w:r>
      <w:r>
        <w:rPr>
          <w:lang w:val="uk-UA"/>
        </w:rPr>
        <w:t xml:space="preserve">чих днів з дня завершення конкурсного відбору визначає переможців конкурсу та оприлюднює результати конкурсу на офіційному веб-сайті </w:t>
      </w:r>
      <w:r>
        <w:rPr>
          <w:lang w:val="uk-UA"/>
        </w:rPr>
        <w:t xml:space="preserve">Відділу освіти та </w:t>
      </w:r>
      <w:r>
        <w:rPr>
          <w:lang w:val="uk-UA"/>
        </w:rPr>
        <w:t xml:space="preserve">Засновника.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18. За результатами конкурсних випробувань конкурсна комісія визначає переможців конкурсу або</w:t>
      </w:r>
      <w:r>
        <w:rPr>
          <w:lang w:val="uk-UA"/>
        </w:rPr>
        <w:t xml:space="preserve"> визнає конкурс таким, що не відбувся.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Загальна тривалість конкурсу не може перевищувати двох місяців з дня його оголошення.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19. Конкурсна комісія визнає конкурс таким, що не відбувся, якщо:</w:t>
      </w:r>
      <w:r>
        <w:rPr>
          <w:lang w:val="uk-UA"/>
        </w:rPr>
        <w:tab/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відсутні заяви про участь у конкурсі;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до участі в конкурсі н</w:t>
      </w:r>
      <w:r>
        <w:rPr>
          <w:lang w:val="uk-UA"/>
        </w:rPr>
        <w:t xml:space="preserve">е допущено жодного кандидата;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- жоден із кандидатів не визначений переможцем конкурсу.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У разі визнання конкурсу таким, що не відбувся, проводиться повторний конкурс.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20. Протягом трьох робочих днів з дня оприлюднення рішення про переможців конкурсу </w:t>
      </w:r>
      <w:r>
        <w:rPr>
          <w:lang w:val="uk-UA"/>
        </w:rPr>
        <w:t xml:space="preserve">Орган у</w:t>
      </w:r>
      <w:r>
        <w:rPr>
          <w:lang w:val="uk-UA"/>
        </w:rPr>
        <w:t xml:space="preserve">правління </w:t>
      </w:r>
      <w:r>
        <w:rPr>
          <w:lang w:val="uk-UA"/>
        </w:rPr>
        <w:t xml:space="preserve">призначає переможц</w:t>
      </w:r>
      <w:r>
        <w:rPr>
          <w:lang w:val="uk-UA"/>
        </w:rPr>
        <w:t xml:space="preserve">я</w:t>
      </w:r>
      <w:r>
        <w:rPr>
          <w:lang w:val="uk-UA"/>
        </w:rPr>
        <w:t xml:space="preserve"> конкурсу на посаду директора Центру.  </w:t>
      </w:r>
      <w:r>
        <w:rPr>
          <w:lang w:val="uk-UA"/>
        </w:rPr>
      </w:r>
    </w:p>
    <w:p>
      <w:pPr>
        <w:ind w:firstLine="567"/>
        <w:rPr>
          <w:sz w:val="28"/>
          <w:szCs w:val="28"/>
          <w:lang w:val="uk-UA"/>
        </w:rPr>
      </w:pPr>
      <w:r>
        <w:rPr>
          <w:lang w:val="uk-UA"/>
        </w:rPr>
        <w:t xml:space="preserve">Переможці конкурсу на посади педагогічних працівників </w:t>
      </w:r>
      <w:r>
        <w:rPr>
          <w:lang w:val="uk-UA"/>
        </w:rPr>
        <w:t xml:space="preserve">Центру </w:t>
      </w:r>
      <w:r>
        <w:rPr>
          <w:lang w:val="uk-UA"/>
        </w:rPr>
        <w:t xml:space="preserve">призначаються директором Центру.</w:t>
      </w:r>
      <w:r>
        <w:rPr>
          <w:lang w:val="uk-UA"/>
        </w:rPr>
      </w:r>
    </w:p>
    <w:p>
      <w:pPr>
        <w:ind w:firstLine="567"/>
      </w:pPr>
      <w:r>
        <w:rPr>
          <w:lang w:val="uk-UA"/>
        </w:rPr>
        <w:t xml:space="preserve">22. Всі інші нерегульовані даним Положенням питання вирішуються колегіально на з</w:t>
      </w:r>
      <w:r>
        <w:t xml:space="preserve">асідання </w:t>
      </w:r>
      <w:r>
        <w:t xml:space="preserve">конкурсної комісії.</w:t>
      </w:r>
      <w:r/>
    </w:p>
    <w:p>
      <w:pPr>
        <w:rPr>
          <w:highlight w:val="none"/>
        </w:rPr>
      </w:pPr>
      <w:r>
        <w:t xml:space="preserve"> </w:t>
      </w:r>
      <w:r/>
    </w:p>
    <w:p>
      <w:r/>
      <w:r/>
    </w:p>
    <w:p>
      <w:pPr>
        <w:ind w:firstLine="0"/>
        <w:tabs>
          <w:tab w:val="left" w:pos="6520" w:leader="none"/>
        </w:tabs>
      </w:pPr>
      <w:r>
        <w:rPr>
          <w:highlight w:val="none"/>
        </w:rPr>
        <w:t xml:space="preserve">Начальник Відділу освіти</w:t>
        <w:tab/>
        <w:t xml:space="preserve">Ірина ЛУК’ЯНЕНКО</w:t>
      </w:r>
      <w:r>
        <w:rPr>
          <w:highlight w:val="none"/>
        </w:rPr>
      </w:r>
    </w:p>
    <w:p>
      <w:pPr>
        <w:rPr>
          <w:rStyle w:val="915"/>
          <w:sz w:val="24"/>
          <w:lang w:val="uk-UA"/>
        </w:rPr>
      </w:pPr>
      <w:r>
        <w:rPr>
          <w:rStyle w:val="915"/>
          <w:sz w:val="24"/>
          <w:szCs w:val="24"/>
          <w:lang w:val="uk-UA"/>
        </w:rPr>
        <w:br w:type="page"/>
      </w:r>
      <w:r/>
    </w:p>
    <w:p>
      <w:pPr>
        <w:pStyle w:val="918"/>
        <w:ind w:left="5669" w:right="1"/>
        <w:jc w:val="both"/>
        <w:spacing w:lineRule="auto" w:line="240" w:after="0" w:before="0"/>
        <w:rPr>
          <w:lang w:val="uk-UA"/>
        </w:rPr>
      </w:pPr>
      <w:r>
        <w:rPr>
          <w:rStyle w:val="915"/>
          <w:rFonts w:ascii="Times New Roman" w:hAnsi="Times New Roman" w:eastAsia="Times New Roman"/>
          <w:sz w:val="24"/>
          <w:szCs w:val="24"/>
          <w:lang w:val="uk-UA"/>
        </w:rPr>
        <w:t xml:space="preserve">Додаток </w:t>
      </w:r>
      <w:r/>
    </w:p>
    <w:p>
      <w:pPr>
        <w:pStyle w:val="917"/>
        <w:ind w:left="5669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17"/>
        <w:ind w:left="5669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Конкурсній комісії _______________________________________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         (найменування)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______________________________________________________________________________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___________________________________________________________</w:t>
      </w:r>
      <w:r>
        <w:rPr>
          <w:sz w:val="20"/>
          <w:szCs w:val="20"/>
        </w:rPr>
        <w:t xml:space="preserve">__________________,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       (прізвище, ім’я та по батькові кандидата у родовому відмінку)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який (яка) проживає за адресою: _______________________________________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______________________________________,______________________________________,</w:t>
      </w:r>
      <w:r/>
    </w:p>
    <w:p>
      <w:pPr>
        <w:ind w:left="4110" w:firstLine="0"/>
        <w:jc w:val="center"/>
        <w:keepLines/>
        <w:keepNext/>
      </w:pPr>
      <w:r>
        <w:rPr>
          <w:sz w:val="20"/>
          <w:szCs w:val="20"/>
        </w:rPr>
        <w:t xml:space="preserve">(номер контактного телефону)</w:t>
      </w:r>
      <w:r/>
    </w:p>
    <w:p>
      <w:pPr>
        <w:ind w:left="4110" w:firstLine="0"/>
        <w:keepLines/>
        <w:keepNext/>
      </w:pPr>
      <w:r>
        <w:rPr>
          <w:sz w:val="20"/>
          <w:szCs w:val="20"/>
        </w:rPr>
        <w:t xml:space="preserve">e-mail ___________________@ ___________</w:t>
      </w:r>
      <w:r/>
    </w:p>
    <w:p>
      <w:pPr>
        <w:ind w:firstLine="3969"/>
        <w:keepLines/>
        <w:keepNext/>
      </w:pPr>
      <w:r>
        <w:rPr>
          <w:sz w:val="20"/>
          <w:szCs w:val="20"/>
        </w:rPr>
        <w:t xml:space="preserve">           (заповнюється друкованими літерами)</w:t>
      </w:r>
      <w:r/>
    </w:p>
    <w:p>
      <w:pPr>
        <w:jc w:val="center"/>
        <w:keepLines/>
        <w:keepNext/>
      </w:pPr>
      <w:r>
        <w:rPr>
          <w:b/>
          <w:sz w:val="20"/>
          <w:szCs w:val="20"/>
        </w:rPr>
        <w:t xml:space="preserve">ЗАЯВА</w:t>
      </w:r>
      <w:r/>
    </w:p>
    <w:p>
      <w:pPr>
        <w:ind w:right="140" w:firstLine="567"/>
      </w:pPr>
      <w:r>
        <w:rPr>
          <w:sz w:val="20"/>
          <w:szCs w:val="20"/>
        </w:rPr>
        <w:t xml:space="preserve">Прошу допустити мене до участі в конкурсі на зайняття посади </w:t>
      </w:r>
      <w:r>
        <w:rPr>
          <w:sz w:val="20"/>
          <w:szCs w:val="20"/>
        </w:rPr>
        <w:br/>
        <w:t xml:space="preserve">________________________________________________________________________</w:t>
      </w:r>
      <w:r>
        <w:rPr>
          <w:sz w:val="20"/>
          <w:szCs w:val="20"/>
        </w:rPr>
        <w:t xml:space="preserve">______________________________________________________________</w:t>
      </w:r>
      <w:r/>
    </w:p>
    <w:p>
      <w:pPr>
        <w:ind w:firstLine="567"/>
        <w:jc w:val="center"/>
      </w:pPr>
      <w:r>
        <w:rPr>
          <w:sz w:val="20"/>
          <w:szCs w:val="20"/>
        </w:rPr>
        <w:t xml:space="preserve">    (назва посади та назва комунальної установи)</w:t>
      </w:r>
      <w:r/>
    </w:p>
    <w:p>
      <w:pPr>
        <w:ind w:firstLine="0"/>
      </w:pPr>
      <w:r>
        <w:rPr>
          <w:sz w:val="20"/>
          <w:szCs w:val="20"/>
        </w:rPr>
        <w:t xml:space="preserve">____________________________________________________________________</w:t>
      </w:r>
      <w:r/>
    </w:p>
    <w:p>
      <w:pPr>
        <w:ind w:firstLine="567"/>
      </w:pPr>
      <w:r>
        <w:rPr>
          <w:sz w:val="20"/>
          <w:szCs w:val="20"/>
        </w:rPr>
        <w:t xml:space="preserve">Підтверджую достовірність інформації у доданих мною до заяви документах. </w:t>
      </w:r>
      <w:r/>
    </w:p>
    <w:p>
      <w:pPr>
        <w:ind w:firstLine="567"/>
      </w:pPr>
      <w:r>
        <w:rPr>
          <w:sz w:val="20"/>
          <w:szCs w:val="20"/>
        </w:rPr>
        <w:t xml:space="preserve">Інформацію про проведення конкурсу прошу повідомляти мені шляхом (обрати та зазначити один із запропонованих способів):</w:t>
      </w:r>
      <w:r/>
    </w:p>
    <w:p>
      <w:r>
        <w:rPr>
          <w:sz w:val="20"/>
          <w:szCs w:val="20"/>
          <w:lang w:val="uk-UA" w:bidi="ar-SA" w:eastAsia="uk-UA"/>
        </w:rPr>
      </w:r>
      <w:r>
        <w:rPr>
          <w:sz w:val="20"/>
          <w:szCs w:val="20"/>
        </w:rPr>
        <w:t xml:space="preserve">□ надсилання листа на зазначену адресу;</w:t>
      </w:r>
      <w:r/>
    </w:p>
    <w:p>
      <w:r>
        <w:rPr>
          <w:sz w:val="20"/>
          <w:szCs w:val="20"/>
        </w:rPr>
        <w:t xml:space="preserve">□ надсилання електронного листа на зазначену електронну адресу;</w:t>
      </w:r>
      <w:r/>
    </w:p>
    <w:p>
      <w:r>
        <w:rPr>
          <w:sz w:val="20"/>
          <w:szCs w:val="20"/>
        </w:rPr>
        <w:t xml:space="preserve">□ телефонного дзвінка за номеро</w:t>
      </w:r>
      <w:r>
        <w:rPr>
          <w:sz w:val="20"/>
          <w:szCs w:val="20"/>
        </w:rPr>
        <w:t xml:space="preserve">м ___________________________;</w:t>
      </w:r>
      <w:r/>
    </w:p>
    <w:p>
      <w:r>
        <w:rPr>
          <w:sz w:val="20"/>
          <w:szCs w:val="20"/>
        </w:rPr>
        <w:t xml:space="preserve">□ _______________________________________________________.</w:t>
      </w:r>
      <w:r/>
    </w:p>
    <w:p>
      <w:r>
        <w:rPr>
          <w:sz w:val="20"/>
          <w:szCs w:val="20"/>
        </w:rPr>
        <w:t xml:space="preserve">                                   (зазначити інший доступний спосіб)</w:t>
      </w:r>
      <w:r/>
    </w:p>
    <w:p>
      <w:pPr>
        <w:ind w:firstLine="567"/>
      </w:pPr>
      <w:r>
        <w:rPr>
          <w:sz w:val="20"/>
          <w:szCs w:val="20"/>
        </w:rPr>
        <w:t xml:space="preserve">Додаток:</w:t>
      </w:r>
      <w:r/>
    </w:p>
    <w:p>
      <w:pPr>
        <w:ind w:left="567" w:hanging="566"/>
      </w:pPr>
      <w:r>
        <w:rPr>
          <w:sz w:val="20"/>
          <w:szCs w:val="20"/>
        </w:rPr>
        <w:t xml:space="preserve">___ __________ 20___ р.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Fonts w:ascii="Times New Roman" w:hAnsi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/>
        <w:i/>
        <w:sz w:val="24"/>
      </w:rPr>
      <w:t xml:space="preserve">6</w:t>
    </w:r>
    <w:r>
      <w:rPr>
        <w:rFonts w:ascii="Times New Roman" w:hAnsi="Times New Roman" w:eastAsia="Times New Roman"/>
        <w:i/>
        <w:sz w:val="24"/>
      </w:rPr>
      <w:fldChar w:fldCharType="end"/>
    </w:r>
    <w:r>
      <w:rPr>
        <w:rFonts w:ascii="Times New Roman" w:hAnsi="Times New Roman" w:eastAsia="Times New Roman"/>
        <w:i/>
        <w:sz w:val="24"/>
      </w:rPr>
      <w:t xml:space="preserve">                                       продовження додатка</w:t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27"/>
    <w:uiPriority w:val="99"/>
    <w:rPr>
      <w:sz w:val="20"/>
    </w:rPr>
  </w:style>
  <w:style w:type="paragraph" w:styleId="693" w:default="1">
    <w:name w:val="Normal"/>
    <w:next w:val="910"/>
    <w:qFormat/>
    <w:rPr>
      <w:rFonts w:ascii="Times New Roman" w:hAnsi="Times New Roman" w:eastAsia="Times New Roman"/>
      <w:color w:val="000000"/>
      <w:sz w:val="28"/>
      <w:szCs w:val="28"/>
      <w:lang w:val="ru-RU" w:bidi="en-US" w:eastAsia="en-US"/>
    </w:rPr>
    <w:pPr>
      <w:ind w:firstLine="851"/>
      <w:jc w:val="both"/>
    </w:pPr>
  </w:style>
  <w:style w:type="paragraph" w:styleId="694">
    <w:name w:val="Heading 1"/>
    <w:link w:val="747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695">
    <w:name w:val="Heading 2"/>
    <w:link w:val="748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696">
    <w:name w:val="Heading 3"/>
    <w:link w:val="749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697">
    <w:name w:val="Heading 4"/>
    <w:link w:val="750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698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699">
    <w:name w:val="Heading 6"/>
    <w:link w:val="752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00">
    <w:name w:val="Heading 7"/>
    <w:link w:val="753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01">
    <w:name w:val="Heading 8"/>
    <w:link w:val="754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02">
    <w:name w:val="Heading 9"/>
    <w:link w:val="755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7">
    <w:name w:val="endnote text"/>
    <w:basedOn w:val="693"/>
    <w:link w:val="728"/>
    <w:uiPriority w:val="99"/>
    <w:semiHidden/>
    <w:unhideWhenUsed/>
    <w:rPr>
      <w:sz w:val="20"/>
    </w:rPr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03"/>
    <w:uiPriority w:val="99"/>
    <w:semiHidden/>
    <w:unhideWhenUsed/>
    <w:rPr>
      <w:vertAlign w:val="superscript"/>
    </w:rPr>
  </w:style>
  <w:style w:type="paragraph" w:styleId="730">
    <w:name w:val="table of figures"/>
    <w:basedOn w:val="693"/>
    <w:next w:val="693"/>
    <w:uiPriority w:val="99"/>
    <w:unhideWhenUsed/>
  </w:style>
  <w:style w:type="character" w:styleId="731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03"/>
    <w:uiPriority w:val="10"/>
    <w:rPr>
      <w:sz w:val="48"/>
      <w:szCs w:val="48"/>
    </w:rPr>
  </w:style>
  <w:style w:type="character" w:styleId="741" w:customStyle="1">
    <w:name w:val="Subtitle Char"/>
    <w:basedOn w:val="703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03"/>
    <w:uiPriority w:val="99"/>
  </w:style>
  <w:style w:type="character" w:styleId="745" w:customStyle="1">
    <w:name w:val="Footer Char"/>
    <w:basedOn w:val="703"/>
    <w:uiPriority w:val="99"/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Заголовок 1 Знак"/>
    <w:link w:val="694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749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757">
    <w:name w:val="No Spacing"/>
    <w:qFormat/>
    <w:uiPriority w:val="1"/>
    <w:rPr>
      <w:lang w:val="ru-RU" w:bidi="en-US" w:eastAsia="en-US"/>
    </w:rPr>
  </w:style>
  <w:style w:type="paragraph" w:styleId="758">
    <w:name w:val="Title"/>
    <w:link w:val="759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  <w:lang w:val="ru-RU" w:bidi="en-US" w:eastAsia="en-US"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link w:val="76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7" w:customStyle="1">
    <w:name w:val="Верхний колонтитул Знак"/>
    <w:link w:val="766"/>
    <w:uiPriority w:val="99"/>
  </w:style>
  <w:style w:type="paragraph" w:styleId="768">
    <w:name w:val="Footer"/>
    <w:link w:val="76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9" w:customStyle="1">
    <w:name w:val="Нижний колонтитул Знак"/>
    <w:link w:val="768"/>
    <w:uiPriority w:val="99"/>
  </w:style>
  <w:style w:type="table" w:styleId="770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01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02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03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04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05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06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07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08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09">
    <w:name w:val="TOC Heading"/>
    <w:uiPriority w:val="39"/>
    <w:unhideWhenUsed/>
    <w:rPr>
      <w:lang w:val="ru-RU" w:bidi="en-US" w:eastAsia="en-US"/>
    </w:rPr>
  </w:style>
  <w:style w:type="paragraph" w:styleId="910" w:customStyle="1">
    <w:name w:val="Обычный1"/>
    <w:rPr>
      <w:lang w:eastAsia="en-US"/>
    </w:rPr>
    <w:pPr>
      <w:spacing w:lineRule="auto" w:line="276" w:after="200"/>
    </w:pPr>
  </w:style>
  <w:style w:type="character" w:styleId="911" w:customStyle="1">
    <w:name w:val="Основной шрифт абзаца1"/>
    <w:semiHidden/>
  </w:style>
  <w:style w:type="table" w:styleId="912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3" w:customStyle="1">
    <w:name w:val="Нет списка1"/>
    <w:semiHidden/>
  </w:style>
  <w:style w:type="paragraph" w:styleId="914" w:customStyle="1">
    <w:name w:val="Default"/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915" w:customStyle="1">
    <w:name w:val="rvts23"/>
    <w:rPr>
      <w:rFonts w:cs="Times New Roman"/>
    </w:rPr>
  </w:style>
  <w:style w:type="paragraph" w:styleId="916" w:customStyle="1">
    <w:name w:val="rvps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 w:customStyle="1">
    <w:name w:val="rvps6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8" w:customStyle="1">
    <w:name w:val="Заголовок 11"/>
    <w:qFormat/>
    <w:uiPriority w:val="9"/>
    <w:rPr>
      <w:rFonts w:ascii="Arial" w:hAnsi="Arial" w:cs="Arial" w:eastAsia="Arial"/>
      <w:sz w:val="40"/>
      <w:szCs w:val="40"/>
      <w:lang w:val="ru-RU" w:eastAsia="ru-RU"/>
    </w:rPr>
    <w:pPr>
      <w:keepLines/>
      <w:keepNext/>
      <w:spacing w:lineRule="auto" w:line="276" w:after="200" w:before="480"/>
      <w:outlineLvl w:val="0"/>
    </w:pPr>
  </w:style>
  <w:style w:type="paragraph" w:styleId="919">
    <w:name w:val="Balloon Text"/>
    <w:basedOn w:val="693"/>
    <w:link w:val="9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0" w:customStyle="1">
    <w:name w:val="Текст выноски Знак"/>
    <w:basedOn w:val="703"/>
    <w:link w:val="919"/>
    <w:uiPriority w:val="99"/>
    <w:semiHidden/>
    <w:rPr>
      <w:rFonts w:ascii="Segoe UI" w:hAnsi="Segoe UI" w:cs="Segoe UI" w:eastAsia="Times New Roman"/>
      <w:color w:val="000000"/>
      <w:sz w:val="18"/>
      <w:szCs w:val="18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zakon.rada.gov.ua/laws/show/1682-18" TargetMode="External"/><Relationship Id="rId17" Type="http://schemas.openxmlformats.org/officeDocument/2006/relationships/hyperlink" Target="http://zakon2.rada.gov.ua/laws/show/2297-17" TargetMode="External"/><Relationship Id="rId18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B87B75E-37A1-4032-9D1A-62544E8C2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32</cp:revision>
  <dcterms:created xsi:type="dcterms:W3CDTF">2024-06-17T11:49:00Z</dcterms:created>
  <dcterms:modified xsi:type="dcterms:W3CDTF">2024-06-27T11:14:03Z</dcterms:modified>
</cp:coreProperties>
</file>