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81"/>
        <w:tblW w:w="9749" w:type="dxa"/>
        <w:tblInd w:w="-7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9"/>
      </w:tblGrid>
      <w:tr>
        <w:trPr/>
        <w:tc>
          <w:tcPr>
            <w:tcW w:w="9639" w:type="dxa"/>
            <w:textDirection w:val="lrTb"/>
            <w:noWrap w:val="false"/>
          </w:tcPr>
          <w:p>
            <w:pPr>
              <w:pStyle w:val="682"/>
              <w:ind w:left="5670"/>
              <w:jc w:val="both"/>
              <w:spacing w:after="0" w:afterAutospacing="0" w:before="0" w:beforeAutospacing="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bookmarkStart w:id="0" w:name="_Hlk71637167"/>
            <w:r/>
            <w:bookmarkStart w:id="1" w:name="_Hlk160706165"/>
            <w:r>
              <w:rPr>
                <w:color w:val="000000"/>
                <w:sz w:val="28"/>
                <w:szCs w:val="28"/>
              </w:rPr>
              <w:t xml:space="preserve">Додаток </w:t>
            </w:r>
            <w:r>
              <w:rPr>
                <w:color w:val="000000"/>
                <w:sz w:val="28"/>
                <w:szCs w:val="28"/>
              </w:rPr>
              <w:t xml:space="preserve">5</w:t>
            </w:r>
            <w:r>
              <w:rPr>
                <w:color w:val="000000"/>
                <w:sz w:val="28"/>
                <w:szCs w:val="28"/>
              </w:rPr>
              <w:t xml:space="preserve"> до рішення 4</w:t>
            </w:r>
            <w:r>
              <w:rPr>
                <w:color w:val="000000"/>
                <w:sz w:val="28"/>
                <w:szCs w:val="28"/>
              </w:rPr>
              <w:t xml:space="preserve">9</w:t>
            </w:r>
            <w:r>
              <w:rPr>
                <w:color w:val="000000"/>
                <w:sz w:val="28"/>
                <w:szCs w:val="28"/>
              </w:rPr>
              <w:t xml:space="preserve"> сесії Менської міської ради 8 скликання від  26.0</w:t>
            </w:r>
            <w:r>
              <w:rPr>
                <w:color w:val="000000"/>
                <w:sz w:val="28"/>
                <w:szCs w:val="28"/>
              </w:rPr>
              <w:t xml:space="preserve">6</w:t>
            </w:r>
            <w:r>
              <w:rPr>
                <w:color w:val="000000"/>
                <w:sz w:val="28"/>
                <w:szCs w:val="28"/>
              </w:rPr>
              <w:t xml:space="preserve">.202</w:t>
            </w:r>
            <w:r>
              <w:rPr>
                <w:color w:val="000000"/>
                <w:sz w:val="28"/>
                <w:szCs w:val="28"/>
              </w:rPr>
              <w:t xml:space="preserve">4</w:t>
            </w:r>
            <w:r>
              <w:rPr>
                <w:color w:val="000000"/>
                <w:sz w:val="28"/>
                <w:szCs w:val="28"/>
              </w:rPr>
              <w:t xml:space="preserve"> № 320</w:t>
            </w:r>
            <w:bookmarkEnd w:id="0"/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bookmarkEnd w:id="1"/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Verdana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hAnsi="Times New Roman" w:cs="Verdana"/>
          <w:b/>
          <w:bCs/>
          <w:spacing w:val="2"/>
          <w:sz w:val="24"/>
          <w:szCs w:val="24"/>
          <w:lang w:eastAsia="ru-RU"/>
        </w:rPr>
        <w:t xml:space="preserve">ІН</w:t>
      </w:r>
      <w:r>
        <w:rPr>
          <w:rFonts w:ascii="Times New Roman" w:hAnsi="Times New Roman" w:cs="Verdana"/>
          <w:b/>
          <w:bCs/>
          <w:spacing w:val="-4"/>
          <w:sz w:val="24"/>
          <w:szCs w:val="24"/>
          <w:lang w:eastAsia="ru-RU"/>
        </w:rPr>
        <w:t xml:space="preserve">Ф</w:t>
      </w:r>
      <w:r>
        <w:rPr>
          <w:rFonts w:ascii="Times New Roman" w:hAnsi="Times New Roman" w:cs="Verdana"/>
          <w:b/>
          <w:bCs/>
          <w:spacing w:val="4"/>
          <w:sz w:val="24"/>
          <w:szCs w:val="24"/>
          <w:lang w:eastAsia="ru-RU"/>
        </w:rPr>
        <w:t xml:space="preserve">О</w:t>
      </w:r>
      <w:r>
        <w:rPr>
          <w:rFonts w:ascii="Times New Roman" w:hAnsi="Times New Roman" w:cs="Verdana"/>
          <w:b/>
          <w:bCs/>
          <w:spacing w:val="-1"/>
          <w:sz w:val="24"/>
          <w:szCs w:val="24"/>
          <w:lang w:eastAsia="ru-RU"/>
        </w:rPr>
        <w:t xml:space="preserve">РМ</w:t>
      </w:r>
      <w:r>
        <w:rPr>
          <w:rFonts w:ascii="Times New Roman" w:hAnsi="Times New Roman" w:cs="Verdana"/>
          <w:b/>
          <w:bCs/>
          <w:spacing w:val="2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Verdana"/>
          <w:b/>
          <w:bCs/>
          <w:spacing w:val="4"/>
          <w:sz w:val="24"/>
          <w:szCs w:val="24"/>
          <w:lang w:eastAsia="ru-RU"/>
        </w:rPr>
        <w:t xml:space="preserve">Ц</w:t>
      </w:r>
      <w:r>
        <w:rPr>
          <w:rFonts w:ascii="Times New Roman" w:hAnsi="Times New Roman" w:cs="Verdana"/>
          <w:b/>
          <w:bCs/>
          <w:spacing w:val="2"/>
          <w:sz w:val="24"/>
          <w:szCs w:val="24"/>
          <w:lang w:eastAsia="ru-RU"/>
        </w:rPr>
        <w:t xml:space="preserve">І</w:t>
      </w:r>
      <w:r>
        <w:rPr>
          <w:rFonts w:ascii="Times New Roman" w:hAnsi="Times New Roman" w:cs="Verdana"/>
          <w:b/>
          <w:bCs/>
          <w:spacing w:val="-2"/>
          <w:sz w:val="24"/>
          <w:szCs w:val="24"/>
          <w:lang w:eastAsia="ru-RU"/>
        </w:rPr>
        <w:t xml:space="preserve">Й</w:t>
      </w:r>
      <w:r>
        <w:rPr>
          <w:rFonts w:ascii="Times New Roman" w:hAnsi="Times New Roman" w:cs="Verdana"/>
          <w:b/>
          <w:bCs/>
          <w:spacing w:val="2"/>
          <w:sz w:val="24"/>
          <w:szCs w:val="24"/>
          <w:lang w:eastAsia="ru-RU"/>
        </w:rPr>
        <w:t xml:space="preserve">Н</w:t>
      </w:r>
      <w:r>
        <w:rPr>
          <w:rFonts w:ascii="Times New Roman" w:hAnsi="Times New Roman" w:cs="Verdana"/>
          <w:b/>
          <w:bCs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Verdana"/>
          <w:b/>
          <w:bCs/>
          <w:spacing w:val="-1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Verdana"/>
          <w:b/>
          <w:bCs/>
          <w:spacing w:val="-1"/>
          <w:sz w:val="24"/>
          <w:szCs w:val="24"/>
          <w:lang w:eastAsia="ru-RU"/>
        </w:rPr>
        <w:t xml:space="preserve">К</w:t>
      </w:r>
      <w:r>
        <w:rPr>
          <w:rFonts w:ascii="Times New Roman" w:hAnsi="Times New Roman" w:cs="Verdana"/>
          <w:b/>
          <w:bCs/>
          <w:spacing w:val="2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Verdana"/>
          <w:b/>
          <w:bCs/>
          <w:spacing w:val="-1"/>
          <w:sz w:val="24"/>
          <w:szCs w:val="24"/>
          <w:lang w:eastAsia="ru-RU"/>
        </w:rPr>
        <w:t xml:space="preserve">Р</w:t>
      </w:r>
      <w:r>
        <w:rPr>
          <w:rFonts w:ascii="Times New Roman" w:hAnsi="Times New Roman" w:cs="Verdana"/>
          <w:b/>
          <w:bCs/>
          <w:spacing w:val="2"/>
          <w:sz w:val="24"/>
          <w:szCs w:val="24"/>
          <w:lang w:eastAsia="ru-RU"/>
        </w:rPr>
        <w:t xml:space="preserve">Т</w:t>
      </w:r>
      <w:r>
        <w:rPr>
          <w:rFonts w:ascii="Times New Roman" w:hAnsi="Times New Roman" w:cs="Verdana"/>
          <w:b/>
          <w:bCs/>
          <w:spacing w:val="-2"/>
          <w:sz w:val="24"/>
          <w:szCs w:val="24"/>
          <w:lang w:eastAsia="ru-RU"/>
        </w:rPr>
        <w:t xml:space="preserve">К</w:t>
      </w:r>
      <w:r>
        <w:rPr>
          <w:rFonts w:ascii="Times New Roman" w:hAnsi="Times New Roman" w:cs="Verdana"/>
          <w:b/>
          <w:bCs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Verdana"/>
          <w:b/>
          <w:bCs/>
          <w:spacing w:val="-3"/>
          <w:sz w:val="24"/>
          <w:szCs w:val="24"/>
          <w:lang w:eastAsia="ru-RU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Verdana"/>
          <w:b/>
          <w:bCs/>
          <w:spacing w:val="2"/>
          <w:sz w:val="24"/>
          <w:szCs w:val="24"/>
          <w:lang w:eastAsia="ru-RU"/>
        </w:rPr>
      </w:pPr>
      <w:r>
        <w:rPr>
          <w:rFonts w:ascii="Times New Roman" w:hAnsi="Times New Roman" w:cs="Verdana"/>
          <w:b/>
          <w:bCs/>
          <w:spacing w:val="2"/>
          <w:sz w:val="24"/>
          <w:szCs w:val="24"/>
          <w:lang w:eastAsia="ru-RU"/>
        </w:rPr>
        <w:t xml:space="preserve">адміністративної послуги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/>
      <w:bookmarkStart w:id="2" w:name="_Hlk160696476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Уточнення персональних даних призовників, військовозобов’язаних та резервістів</w:t>
      </w:r>
      <w:r/>
    </w:p>
    <w:p>
      <w:pPr>
        <w:jc w:val="center"/>
        <w:spacing w:lineRule="auto" w:line="240" w:after="0"/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Відділ «Центр надання адміністративних послуг» Менської міської ради</w:t>
      </w:r>
      <w:r/>
    </w:p>
    <w:tbl>
      <w:tblPr>
        <w:tblW w:w="1022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57"/>
        <w:gridCol w:w="6083"/>
        <w:gridCol w:w="12"/>
      </w:tblGrid>
      <w:tr>
        <w:trPr/>
        <w:tc>
          <w:tcPr>
            <w:gridSpan w:val="5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/>
            <w:bookmarkStart w:id="3" w:name="_Hlk86307777"/>
            <w:r/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Інформація про суб’єкта надання адміністративної послуги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Місцезнаходження виконавчого органу місцевого самоврядування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5" w:type="dxa"/>
            <w:vAlign w:val="center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15600, 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Героїв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6</w:t>
            </w:r>
            <w:r/>
          </w:p>
          <w:p>
            <w:pPr>
              <w:pStyle w:val="67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/>
            <w:bookmarkStart w:id="4" w:name="_Hlk160696760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Режим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pStyle w:val="676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Понеділок-середа      з 8:30 до 16:30</w:t>
            </w:r>
            <w:r>
              <w:rPr>
                <w:sz w:val="28"/>
                <w:szCs w:val="28"/>
                <w:lang w:val="uk-UA"/>
              </w:rPr>
              <w:br/>
              <w:t xml:space="preserve">Четвер                        з 8:30 до 20:00</w:t>
            </w:r>
            <w:r>
              <w:rPr>
                <w:sz w:val="28"/>
                <w:szCs w:val="28"/>
                <w:lang w:val="uk-UA"/>
              </w:rPr>
              <w:br/>
              <w:t xml:space="preserve">П’ятниця-субота       з 8:30 до 15:30</w:t>
            </w:r>
            <w:r>
              <w:rPr>
                <w:sz w:val="28"/>
                <w:szCs w:val="28"/>
                <w:lang w:val="uk-UA"/>
              </w:rPr>
              <w:br/>
              <w:t xml:space="preserve">Вихідний день                 неділя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Телефон, адреса електронної пошти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веб-сайт 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spacing w:lineRule="atLeast" w:line="285"/>
              <w:shd w:val="clear" w:fill="FFFFFF" w:color="auto"/>
              <w:rPr>
                <w:rFonts w:ascii="Times New Roman" w:hAnsi="Times New Roman" w:cs="Times New Roman" w:eastAsia="Times New Roman"/>
                <w:color w:val="5F6368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093-38-36-292,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cnap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/>
                <w:lang w:val="en-US" w:eastAsia="ru-RU"/>
              </w:rPr>
              <w:t xml:space="preserve">radamena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/>
                <w:lang w:eastAsia="ru-RU"/>
              </w:rPr>
              <w:t xml:space="preserve">@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/>
                <w:lang w:val="en-US" w:eastAsia="ru-RU"/>
              </w:rPr>
              <w:t xml:space="preserve">cg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/>
                <w:lang w:val="en-US" w:eastAsia="ru-RU"/>
              </w:rPr>
              <w:t xml:space="preserve">gov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/>
                <w:lang w:val="en-US" w:eastAsia="ru-RU"/>
              </w:rPr>
              <w:t xml:space="preserve">ua</w:t>
            </w:r>
            <w:r/>
          </w:p>
          <w:p>
            <w:pPr>
              <w:pStyle w:val="678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r>
            <w:bookmarkEnd w:id="3"/>
            <w:bookmarkEnd w:id="4"/>
            <w:r/>
          </w:p>
        </w:tc>
      </w:tr>
      <w:tr>
        <w:trPr>
          <w:trHeight w:val="615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02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Нормативні акти, якими регламентується порядок та умови надання адміністративної послуги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Закони України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Закон України Про внесення змін до деяких законодавчих актів України щодо окремих питань проходження військової служби, мобілізації та військового обліку» пп.1.п.2 Розділу II,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Закон України Про Єдиний державний реєстр призовників, військовозобов'язаних та резервістів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14.2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Акти Кабінету Міністрів України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Постанова 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абінету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іністрів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 від 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.20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 № 2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fill="FFFFFF" w:color="auto"/>
              </w:rPr>
              <w:t xml:space="preserve">Деякі питання декларування і реєстрації місця проживання та ведення реєстрів територіальних громад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»</w:t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Постанова Кабінету Міністрів України від 04.12.2019 № 1137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fill="FFFFFF" w:color="auto"/>
              </w:rPr>
              <w:t xml:space="preserve">Питання Єдиного державного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fill="FFFFFF" w:color="auto"/>
              </w:rPr>
              <w:t xml:space="preserve">вебпорталу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fill="FFFFFF" w:color="auto"/>
              </w:rPr>
              <w:t xml:space="preserve"> електронних послуг та Реєстру адміністративних послуг»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Акти центральних органів виконавчої влади України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ind w:firstLine="742"/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Акти місцевих органів виконавчої влади/органів місцевого самоврядування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022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Умови отримання адміністративної послуги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Підстава для одержання адміністративної послуги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Звернення особи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.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ерелік документів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необхідних для отримання адміністративної 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 та умови отримання адміністративної послуги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Особа звертається до Відділу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ЦНАП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Для посвідчення особи суб’єкта звернення пред’являється паспортний документ особи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Довідка про присвоєння реєстраційного номе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ру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 паспорті)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Порядок та спосіб подання документів, необхідних для отримання адміністративної послуги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Заявник для одержання адміністративної послуги звертається до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ЦНАП особисто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.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Платність</w:t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надання адміністративної послуги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Адміністративн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ий збір не справляється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.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Строк надання адміністративної послуги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У день безпосереднього звернення особи.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Перелік підстав відмови у наданні адміністративної послуги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fill="FFFFFF" w:color="auto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Результат надання адміністративної послуги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Витяг про підтвердження уточнення даних.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Способи отримання відповіді (результату)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Особисто.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Примітка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fill="FFFFFF" w:color="auto"/>
              </w:rPr>
            </w:r>
            <w:r/>
          </w:p>
          <w:p>
            <w:pPr>
              <w:jc w:val="both"/>
              <w:spacing w:lineRule="atLeast" w:line="0" w:after="0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fill="FFFFFF" w:color="auto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  <w:t xml:space="preserve">ТЕХНОЛОГІЧНА КАРТКА </w:t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eastAsia="ru-RU"/>
        </w:rPr>
        <w:t xml:space="preserve">адміністративної послуги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Уточнення персональних даних призовників, військовозобов’язаних та резервістів</w:t>
      </w:r>
      <w:r/>
    </w:p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спадкодавця (довідка для оформлення спадщини)</w:t>
      </w:r>
      <w:r/>
    </w:p>
    <w:tbl>
      <w:tblPr>
        <w:tblW w:w="9948" w:type="dxa"/>
        <w:tblInd w:w="-431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43"/>
        <w:gridCol w:w="2274"/>
        <w:gridCol w:w="2279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№ 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Етапи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опрацювання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звернення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адміністративної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послуги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Відповідальна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 особа в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залежності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суб’єкта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якого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звернувся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заявник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Строк виконання</w:t>
            </w:r>
            <w:r/>
          </w:p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етапів (днів)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1</w:t>
            </w:r>
            <w:r/>
          </w:p>
        </w:tc>
        <w:tc>
          <w:tcPr>
            <w:shd w:val="clear" w:fill="auto" w:color="auto"/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Формування заяви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на підставі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поданих заявником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через особистий кабінет адміністратора на порталі ДІЯ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.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адміністратор ЦНАП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день звернення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2</w:t>
            </w:r>
            <w:r/>
          </w:p>
        </w:tc>
        <w:tc>
          <w:tcPr>
            <w:shd w:val="clear" w:fill="auto" w:color="auto"/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Реєстрація заяви  у журналі обліку/реєстрації заяв та документів необхідних для отримання адміністративної послуги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адміністратор ЦНАП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У день звернення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3</w:t>
            </w:r>
            <w:r/>
          </w:p>
        </w:tc>
        <w:tc>
          <w:tcPr>
            <w:shd w:val="clear" w:fill="auto" w:color="auto"/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Пере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дача електронної заяви до Єдиного державного реєстру призовників, військовозобов’язаних та резервістів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адміністратор ЦНАП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У день звернення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4</w:t>
            </w:r>
            <w:r/>
          </w:p>
        </w:tc>
        <w:tc>
          <w:tcPr>
            <w:shd w:val="clear" w:fill="auto" w:color="auto"/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Отримання витягу із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 Єдиного державного реєстру призовників, військовозобов’язаних та резервістів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адміністратор ЦНАП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день звернення</w:t>
            </w:r>
            <w:r/>
          </w:p>
        </w:tc>
      </w:tr>
      <w:tr>
        <w:trPr/>
        <w:tc>
          <w:tcPr>
            <w:shd w:val="clear" w:fill="auto" w:color="auto"/>
            <w:tcW w:w="8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tabs>
                <w:tab w:val="left" w:pos="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5</w:t>
            </w:r>
            <w:r/>
          </w:p>
        </w:tc>
        <w:tc>
          <w:tcPr>
            <w:shd w:val="clear" w:fill="auto" w:color="auto"/>
            <w:tcW w:w="4543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Видача 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итяг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 про підтвердження уточнення даних.</w:t>
            </w:r>
            <w:r/>
          </w:p>
        </w:tc>
        <w:tc>
          <w:tcPr>
            <w:shd w:val="clear" w:fill="auto" w:color="auto"/>
            <w:tcW w:w="22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  <w:t xml:space="preserve">адміністратор ЦНАП</w:t>
            </w:r>
            <w:r/>
          </w:p>
        </w:tc>
        <w:tc>
          <w:tcPr>
            <w:shd w:val="clear" w:fill="auto" w:color="auto"/>
            <w:tcW w:w="2279" w:type="dxa"/>
            <w:textDirection w:val="lrTb"/>
            <w:noWrap w:val="false"/>
          </w:tcPr>
          <w:p>
            <w:pPr>
              <w:ind w:right="448"/>
              <w:jc w:val="center"/>
              <w:spacing w:lineRule="auto" w:line="240" w:after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день звернення</w:t>
            </w:r>
            <w:r/>
          </w:p>
        </w:tc>
      </w:tr>
    </w:tbl>
    <w:p>
      <w:pPr>
        <w:ind w:right="448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val="ru-RU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  <w:lang w:val="ru-RU" w:eastAsia="ru-RU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Начальник відділу “Центр надання</w:t>
      </w:r>
      <w:r>
        <w:rPr>
          <w:rFonts w:ascii="Times New Roman" w:hAnsi="Times New Roman" w:cs="Times New Roman"/>
          <w:sz w:val="28"/>
          <w:szCs w:val="24"/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4"/>
          <w:highlight w:val="none"/>
        </w:rPr>
        <w:t xml:space="preserve">адміністративних послуг”                                                              Валерій РАЧКОВ</w:t>
      </w:r>
      <w:r>
        <w:rPr>
          <w:rFonts w:ascii="Times New Roman" w:hAnsi="Times New Roman" w:cs="Times New Roman"/>
          <w:sz w:val="28"/>
          <w:szCs w:val="24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566" w:bottom="851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89064797"/>
      <w:docPartObj>
        <w:docPartGallery w:val="Page Numbers (Top of Page)"/>
        <w:docPartUnique w:val="true"/>
      </w:docPartObj>
      <w:rPr/>
    </w:sdtPr>
    <w:sdtContent>
      <w:p>
        <w:pPr>
          <w:pStyle w:val="683"/>
          <w:jc w:val="center"/>
          <w:rPr>
            <w:i/>
            <w:iCs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>
          <w:t xml:space="preserve">                         </w:t>
        </w:r>
        <w:r/>
      </w:p>
      <w:p>
        <w:pPr>
          <w:pStyle w:val="683"/>
          <w:jc w:val="right"/>
        </w:pPr>
        <w:r>
          <w:rPr>
            <w:i/>
            <w:iCs/>
          </w:rPr>
          <w:t xml:space="preserve">Продовження додатка</w:t>
        </w:r>
        <w:r/>
      </w:p>
    </w:sdtContent>
  </w:sdt>
  <w:p>
    <w:pPr>
      <w:pStyle w:val="6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65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65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1"/>
    <w:next w:val="67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3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3"/>
    <w:link w:val="67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1"/>
    <w:next w:val="67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1"/>
    <w:next w:val="67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1"/>
    <w:next w:val="67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1"/>
    <w:next w:val="67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1"/>
    <w:next w:val="67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1"/>
    <w:next w:val="67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1"/>
    <w:next w:val="67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1"/>
    <w:next w:val="67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3"/>
    <w:link w:val="32"/>
    <w:uiPriority w:val="10"/>
    <w:rPr>
      <w:sz w:val="48"/>
      <w:szCs w:val="48"/>
    </w:rPr>
  </w:style>
  <w:style w:type="paragraph" w:styleId="34">
    <w:name w:val="Subtitle"/>
    <w:basedOn w:val="671"/>
    <w:next w:val="67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3"/>
    <w:link w:val="34"/>
    <w:uiPriority w:val="11"/>
    <w:rPr>
      <w:sz w:val="24"/>
      <w:szCs w:val="24"/>
    </w:rPr>
  </w:style>
  <w:style w:type="paragraph" w:styleId="36">
    <w:name w:val="Quote"/>
    <w:basedOn w:val="671"/>
    <w:next w:val="67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1"/>
    <w:next w:val="671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3"/>
    <w:link w:val="683"/>
    <w:uiPriority w:val="99"/>
  </w:style>
  <w:style w:type="character" w:styleId="43">
    <w:name w:val="Footer Char"/>
    <w:basedOn w:val="673"/>
    <w:link w:val="685"/>
    <w:uiPriority w:val="99"/>
  </w:style>
  <w:style w:type="paragraph" w:styleId="44">
    <w:name w:val="Caption"/>
    <w:basedOn w:val="671"/>
    <w:next w:val="6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5"/>
    <w:uiPriority w:val="99"/>
  </w:style>
  <w:style w:type="table" w:styleId="47">
    <w:name w:val="Table Grid Light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7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3"/>
    <w:uiPriority w:val="99"/>
    <w:unhideWhenUsed/>
    <w:rPr>
      <w:vertAlign w:val="superscript"/>
    </w:rPr>
  </w:style>
  <w:style w:type="paragraph" w:styleId="176">
    <w:name w:val="endnote text"/>
    <w:basedOn w:val="67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3"/>
    <w:uiPriority w:val="99"/>
    <w:semiHidden/>
    <w:unhideWhenUsed/>
    <w:rPr>
      <w:vertAlign w:val="superscript"/>
    </w:rPr>
  </w:style>
  <w:style w:type="paragraph" w:styleId="179">
    <w:name w:val="toc 1"/>
    <w:basedOn w:val="671"/>
    <w:next w:val="67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1"/>
    <w:next w:val="67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1"/>
    <w:next w:val="67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1"/>
    <w:next w:val="67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1"/>
    <w:next w:val="67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1"/>
    <w:next w:val="67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1"/>
    <w:next w:val="67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1"/>
    <w:next w:val="67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1"/>
    <w:next w:val="67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1"/>
    <w:next w:val="671"/>
    <w:uiPriority w:val="99"/>
    <w:unhideWhenUsed/>
    <w:pPr>
      <w:spacing w:after="0" w:afterAutospacing="0"/>
    </w:pPr>
  </w:style>
  <w:style w:type="paragraph" w:styleId="671" w:default="1">
    <w:name w:val="Normal"/>
    <w:qFormat/>
    <w:rPr>
      <w:lang w:val="uk-UA"/>
    </w:rPr>
  </w:style>
  <w:style w:type="paragraph" w:styleId="672">
    <w:name w:val="Heading 2"/>
    <w:basedOn w:val="671"/>
    <w:link w:val="679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  <w:pPr>
      <w:spacing w:lineRule="auto" w:line="240" w:after="100" w:afterAutospacing="1" w:before="100" w:beforeAutospacing="1"/>
      <w:outlineLvl w:val="1"/>
    </w:p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paragraph" w:styleId="676">
    <w:name w:val="Normal (Web)"/>
    <w:basedOn w:val="671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677">
    <w:name w:val="Hyperlink"/>
    <w:basedOn w:val="673"/>
    <w:unhideWhenUsed/>
    <w:rPr>
      <w:color w:val="0000FF"/>
      <w:u w:val="single"/>
    </w:rPr>
  </w:style>
  <w:style w:type="paragraph" w:styleId="678">
    <w:name w:val="No Spacing"/>
    <w:qFormat/>
    <w:uiPriority w:val="1"/>
    <w:rPr>
      <w:rFonts w:ascii="Calibri" w:hAnsi="Calibri" w:cs="Times New Roman" w:eastAsia="Times New Roman"/>
      <w:lang w:eastAsia="zh-CN"/>
    </w:rPr>
    <w:pPr>
      <w:spacing w:lineRule="auto" w:line="240" w:after="0"/>
    </w:pPr>
  </w:style>
  <w:style w:type="character" w:styleId="679" w:customStyle="1">
    <w:name w:val="Заголовок 2 Знак"/>
    <w:basedOn w:val="673"/>
    <w:link w:val="672"/>
    <w:uiPriority w:val="9"/>
    <w:rPr>
      <w:rFonts w:ascii="Times New Roman" w:hAnsi="Times New Roman" w:cs="Times New Roman" w:eastAsia="Times New Roman"/>
      <w:b/>
      <w:bCs/>
      <w:sz w:val="36"/>
      <w:szCs w:val="36"/>
      <w:lang w:val="uk-UA" w:eastAsia="uk-UA"/>
    </w:rPr>
  </w:style>
  <w:style w:type="paragraph" w:styleId="680">
    <w:name w:val="List Paragraph"/>
    <w:basedOn w:val="671"/>
    <w:qFormat/>
    <w:uiPriority w:val="34"/>
    <w:pPr>
      <w:contextualSpacing w:val="true"/>
      <w:ind w:left="720"/>
    </w:pPr>
  </w:style>
  <w:style w:type="table" w:styleId="681">
    <w:name w:val="Table Grid"/>
    <w:basedOn w:val="674"/>
    <w:uiPriority w:val="59"/>
    <w:rPr>
      <w:rFonts w:ascii="Calibri" w:hAnsi="Calibri" w:cs="Calibri" w:eastAsia="Calibri"/>
      <w:lang w:val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82" w:customStyle="1">
    <w:name w:val="docdata"/>
    <w:basedOn w:val="6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683">
    <w:name w:val="Header"/>
    <w:basedOn w:val="671"/>
    <w:link w:val="68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4" w:customStyle="1">
    <w:name w:val="Верхній колонтитул Знак"/>
    <w:basedOn w:val="673"/>
    <w:link w:val="683"/>
    <w:uiPriority w:val="99"/>
    <w:rPr>
      <w:lang w:val="uk-UA"/>
    </w:rPr>
  </w:style>
  <w:style w:type="paragraph" w:styleId="685">
    <w:name w:val="Footer"/>
    <w:basedOn w:val="671"/>
    <w:link w:val="68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6" w:customStyle="1">
    <w:name w:val="Нижній колонтитул Знак"/>
    <w:basedOn w:val="673"/>
    <w:link w:val="685"/>
    <w:uiPriority w:val="99"/>
    <w:rPr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Остапенко Ганна Борисівна</cp:lastModifiedBy>
  <cp:revision>5</cp:revision>
  <dcterms:created xsi:type="dcterms:W3CDTF">2024-06-17T06:36:00Z</dcterms:created>
  <dcterms:modified xsi:type="dcterms:W3CDTF">2024-06-26T10:52:14Z</dcterms:modified>
</cp:coreProperties>
</file>