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-1" w:firstLine="0"/>
        <w:jc w:val="both"/>
        <w:spacing w:after="0" w:before="0"/>
        <w:tabs>
          <w:tab w:val="clear" w:pos="709" w:leader="none"/>
          <w:tab w:val="left" w:pos="340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передачу в постійне користування земельної ділянки Стольненському закладу загальної середньої освіти І-ІІІ ступенів Менської міської ради, який розташований в с. Стольне, вулиця Миру, 15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7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907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клопотання директора Стольненського ЗЗСО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формувань-33335622)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О.М.Шумейко про передачу в постійне користування земельної ділянки  загальною площею 3,5965 га з кадастровим номером 7423088500:01:001:0006 для будівництва та обслуговування будівель заклад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ів освіти (код згідно КВЦПЗ – 03.02), яка розташована за адресою: вул. Миру, 15, с. Стольне, Корюківського району, Чернігівської області в зв’язку з отриманням в оперативне управління об’єктів нерухомого майна, що розміщене на даній земельній ділянці, ке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руючись, ст.12, 92, 123 Земельного кодексу України,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3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pStyle w:val="705"/>
        <w:numPr>
          <w:ilvl w:val="0"/>
          <w:numId w:val="3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відділу освіти Менської райдержадміністрації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3,5965 га кадастровий номер 7423088500:01:001:0006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наданої для обслуговування комплексу приміщень </w:t>
      </w:r>
      <w:r>
        <w:rPr>
          <w:lang w:val="uk-UA"/>
        </w:rPr>
        <w:t xml:space="preserve">Стольненської ЗОШ І-ІІІ ст.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вулиця Миру (раніше-Леніна), 15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Стольне,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району, Чернігівської області.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705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изнати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таким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и, що втратив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Державний Акт на право постійного користування земельною ділянкою площею 3,5965 га кадастровий номер 7423088500:01:001:0006, серія ЯЯ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9878431, виданий відділу освіти Менської райдержадміністрації на підставі рішення органу місцевого самоврядування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18 сесії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Стольненської сільської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 скликання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березня 2010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року, зареєстрований в Книзі записів Державних актів на право власності на землю та на право постійного користування землею, договір оренди землі за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742300003000002 від 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квітня 2011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705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Повідомити Головне управління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Чернігівській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облас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ті про втрату чинності Державного Акту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право постійного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користування зем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лею зазначеного в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цього рішення.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705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Передати Стольненському закладу загальної середньої освіти І-ІІІ ступенів Менської міської ради в постійне користування земельну ділянку  загальною площею 3,5965 га з кадастровим номером 7423088500:01:001:0006 для будівництва та обслуговування будівель зак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ладів освіти (код згідно КВЦПЗ – 03.02), яка розташована за адресою: вул. Миру, 15, с. Стольне, Корюківського району, Чернігівської області.</w:t>
      </w:r>
      <w:r/>
    </w:p>
    <w:p>
      <w:pPr>
        <w:pStyle w:val="705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Стольненському закладу загальної середньої освіти І-ІІІ ступенів Менської міської ради здійснити державну реєстрації постійного права користування на земельну ділянку зазначену в п.4 цього рішення. </w:t>
      </w:r>
      <w:r/>
    </w:p>
    <w:p>
      <w:pPr>
        <w:pStyle w:val="705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2024-06-27T16:54:59Z</dcterms:modified>
</cp:coreProperties>
</file>