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3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274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2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згоду на перетин державного кордону України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метою реалізації права секретаря Менської міської ради та депутата Менської міської ради СТАЛЬНИЧЕНКА Юрія Валерійовича на виїзд за кордон, розглянувши 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none"/>
        </w:rPr>
        <w:t xml:space="preserve">апрошення Міністерства закордонних справ України, Міністерства закордонних справ Німеччини, Міністерства економіки України, Міністерства економічного співробітництва та розвитку Німеччини щодо участі секретаря Менської міської ради СТАЛЬНИЧЕНКА Ю.В. в Конф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none"/>
        </w:rPr>
        <w:t xml:space="preserve">еренції з відновлення України Ukraine Recovery Conference (URC2024) до Німеччини, яка спільно організовується Німеччиною та Україною у місті Берлін, 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повідно до пункту 2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vertAlign w:val="superscript"/>
        </w:rPr>
        <w:t xml:space="preserve">-14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Правил перетинання державного кордону громадянами України, затверджених постановою Кабінету Міністрів України від 27 січня 1995 року  № 57 (у редакції постанови Кабінету Міністрів України </w:t>
      </w:r>
      <w:hyperlink r:id="rId13" w:tooltip="https://zakon.rada.gov.ua/laws/show/724-2010-%D0%BF" w:history="1">
        <w:r>
          <w:rPr>
            <w:rStyle w:val="843"/>
            <w:rFonts w:ascii="Times New Roman" w:hAnsi="Times New Roman" w:cs="Times New Roman" w:eastAsia="Times New Roman"/>
            <w:color w:val="000000"/>
            <w:sz w:val="28"/>
            <w:highlight w:val="white"/>
            <w:u w:val="none"/>
          </w:rPr>
          <w:t xml:space="preserve">від 25 серпня 2010 року № 724</w:t>
        </w:r>
      </w:hyperlink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керуючись статтею 26 Закону України «Про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 </w:t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згоду на перетин державного кордону України секретарю Менської міської ради, депутату Менської міської ради СТАЛЬНИЧЕНКУ Юрію Валерійовичу у період з 09 червня по 14 червня 2024 року включно.</w:t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даного рішення покласти на постійну комісію міської ради з питань регламенту, етики, законності та правопорядку.</w:t>
      </w:r>
      <w:r/>
    </w:p>
    <w:p>
      <w:pPr>
        <w:ind w:left="0" w:right="0" w:firstLine="0"/>
        <w:jc w:val="both"/>
        <w:spacing w:after="0" w:before="0"/>
        <w:shd w:val="clear" w:color="FFFFFF"/>
        <w:tabs>
          <w:tab w:val="clear" w:pos="709" w:leader="none"/>
          <w:tab w:val="left" w:pos="1138" w:leader="none"/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shd w:val="clear" w:color="FFFFFF"/>
        <w:tabs>
          <w:tab w:val="clear" w:pos="709" w:leader="none"/>
          <w:tab w:val="left" w:pos="1138" w:leader="none"/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shd w:val="clear" w:color="FFFFFF"/>
        <w:tabs>
          <w:tab w:val="clear" w:pos="709" w:leader="none"/>
          <w:tab w:val="left" w:pos="113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ind w:left="0" w:right="0" w:firstLine="567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2024-05-30T10:53:22Z</dcterms:modified>
</cp:coreProperties>
</file>