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ind w:left="6236" w:right="0" w:firstLine="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1</w:t>
      </w:r>
      <w:r/>
    </w:p>
    <w:p>
      <w:pPr>
        <w:pStyle w:val="859"/>
        <w:ind w:left="6236" w:right="0" w:firstLine="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48 сесії Менської міської ради 8 скликання</w:t>
      </w:r>
      <w:r/>
    </w:p>
    <w:p>
      <w:pPr>
        <w:pStyle w:val="859"/>
        <w:ind w:left="6236" w:right="0" w:firstLine="0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29 травня 2024 року № 252</w:t>
      </w:r>
      <w:r/>
    </w:p>
    <w:p>
      <w:pPr>
        <w:ind w:firstLine="850"/>
        <w:jc w:val="center"/>
        <w:rPr>
          <w:rFonts w:ascii="Times New Roman" w:hAnsi="Times New Roman" w:cs="Times New Roman"/>
          <w:b/>
          <w:color w:val="343534"/>
          <w:sz w:val="28"/>
          <w:szCs w:val="28"/>
        </w:rPr>
      </w:pPr>
      <w:r>
        <w:rPr>
          <w:rFonts w:ascii="Times New Roman" w:hAnsi="Times New Roman" w:cs="Times New Roman"/>
          <w:b/>
          <w:color w:val="343534"/>
          <w:sz w:val="28"/>
          <w:szCs w:val="28"/>
        </w:rPr>
      </w:r>
      <w:r/>
    </w:p>
    <w:p>
      <w:pPr>
        <w:ind w:firstLine="850"/>
        <w:jc w:val="center"/>
        <w:rPr>
          <w:rFonts w:ascii="Times New Roman" w:hAnsi="Times New Roman" w:cs="Times New Roman"/>
          <w:b/>
          <w:color w:val="343534"/>
          <w:sz w:val="28"/>
          <w:szCs w:val="28"/>
        </w:rPr>
      </w:pPr>
      <w:r/>
      <w:bookmarkStart w:id="0" w:name="_Hlk167370193"/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РЕГЛАМЕНТ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діяльності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«Мобільного центру надання адміністративних послуг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» </w:t>
      </w:r>
      <w:r>
        <w:rPr>
          <w:b/>
        </w:rPr>
      </w:r>
      <w:r/>
    </w:p>
    <w:p>
      <w:pPr>
        <w:jc w:val="center"/>
        <w:rPr>
          <w:rFonts w:ascii="Times New Roman" w:hAnsi="Times New Roman" w:cs="Times New Roman"/>
          <w:b/>
          <w:color w:val="343534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b/>
        </w:rPr>
      </w:r>
      <w:r/>
    </w:p>
    <w:p>
      <w:pPr>
        <w:ind w:firstLine="850"/>
        <w:jc w:val="both"/>
        <w:rPr>
          <w:rFonts w:ascii="Times New Roman" w:hAnsi="Times New Roman" w:cs="Times New Roman"/>
          <w:b/>
          <w:color w:val="343534"/>
          <w:sz w:val="28"/>
          <w:szCs w:val="28"/>
        </w:rPr>
      </w:pPr>
      <w:r>
        <w:rPr>
          <w:rFonts w:ascii="Times New Roman" w:hAnsi="Times New Roman" w:cs="Times New Roman"/>
          <w:b/>
          <w:color w:val="343534"/>
          <w:sz w:val="28"/>
          <w:szCs w:val="28"/>
        </w:rPr>
      </w:r>
      <w:bookmarkEnd w:id="0"/>
      <w:r/>
      <w:r/>
    </w:p>
    <w:p>
      <w:pPr>
        <w:ind w:firstLine="850"/>
        <w:jc w:val="center"/>
        <w:rPr>
          <w:rFonts w:ascii="Times New Roman" w:hAnsi="Times New Roman" w:cs="Times New Roman"/>
          <w:b/>
          <w:color w:val="343534"/>
          <w:sz w:val="28"/>
          <w:szCs w:val="28"/>
        </w:rPr>
      </w:pP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1. Загальні положення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1.1. Регламент діяльності «Мобільного центру надання адміністративних послуг» Менської міської ради (далі - Мобільний ЦНАП) - документ, який визначає: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- основні організаційно-технічні вимоги до організації обслуговування суб’єктів звернень – замовників адміністративних послуг шляхом упровадження виїзних прийомів громад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ян адміністраторами центру надання адміністративних послуг (далі – ЦНАП), представниками суб’єктів надання адміністративних послуг (далі – СНАП) та інших надавачів послуг за місцем проживання/перебування (місцезнаходженням) суб’єктів звернень або за іншою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, зазначеною ними, у межах відповідної адміністративно-територіальної одиниці;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- вимоги до технічного оснащення пересувних віддалених робочих місць адміністраторів (та інших представників надавачів послуг), залучених до роботи мобільного ЦНАП;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- режим роботи мобільного ЦНАП, санітарні та інші вимоги.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1.2. Мобільний ЦНАП складається з 2 (двох) віддалених робочих місць адміністраторів та 2 (двох) місць для очікування відвідувачами у спеціально обладнаному транспортному засобі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, призначеному для надання адміністративних послуг суб’єктам звернень поза приміщенням ЦНАП, та оснащеному відповідним комплектом технічних засобів (комп’ютерної техніки та оргтехніки), відповідним програмним забезпеченням та вільним доступом до Інтернету.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1.3. Дотримання вимог технічного регламенту є обов’язковим для адміністраторів та інших посадових осіб, уповноважених відповідно до закону надавати адміністративні послуги, задіяних у обслуговувані відвідувачів мобільного ЦНАП.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1.4. Організаційне та технічне забезпечення виконання технічного регламенту  здійснюється структурним підрозділом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міської ради, який відповідає за функціонування мобільного ЦНАП із залученням інших відділів відповідно до наданих повноважень.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1.5. Мобільний ЦНАП працює щоденно (крім вихідних та святкових днів) за маршрутами та графіками, складеними керівником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відділу «Центр надання адміністративних послуг» Менської міської ради (далі –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ЦНАП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за узгодженням з керівниками відповідних СНАП (інших надавачів публічних послуг, що беруть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участь у роботі мобільного ЦНАП) та старостами (в тому числі відповідно до отриманих попередніх заявок від мешканців відповідного населеного пункту територіальної громади).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Графік роботи мобільного ЦНАП складається з дотриманням вимог чинного трудового законодавства. 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1.6. Крім мешканців віддалених від центру територіал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ьної громади населених пунктів мобільний ЦНАП першочергово забезпечує обслуговування осіб з інвалідністю I групи та інших осіб, які, за висновком лікарсько-консультативної комісії, не здатні до самообслуговування і потребують постійної сторонньої допомоги.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За рішенням ради та на основі узгодженого рішення (договору про співробітництво територіальних г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ромад) мобільний ЦНАП може використовуватися на території інших населених пунктів (громад) для надання адміністративних (інших публічних) послуг згідно з визначеним у такому рішенні (договорі/договорах) Переліком адміністративних та інших публічних послуг.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</w:r>
      <w:r/>
    </w:p>
    <w:p>
      <w:pPr>
        <w:ind w:firstLine="850"/>
        <w:jc w:val="center"/>
        <w:rPr>
          <w:rFonts w:ascii="Times New Roman" w:hAnsi="Times New Roman" w:cs="Times New Roman"/>
          <w:b/>
          <w:color w:val="343534"/>
          <w:sz w:val="28"/>
          <w:szCs w:val="28"/>
        </w:rPr>
      </w:pP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. Основні вимоги до технічного оснащення мобільного ЦНАП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2.1. Функціонування мобільного ЦНАП забезпечується шляхом використання автомобіля, спеціально обладнаного для здійснення виїзних прийомів та обслуговування суб’єктів звернень – замовників адміністративних та інших публічних послуг. 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2.2. У мобільному ЦНАП облаштовується 2 робочі місця для роботи адміністраторів/державних реєстраторів/представників СНАП, які повинні передбачати підключення до мережі інтернет засобами 3G/4G та мати можливість підключення до зовнішніх мереж.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2.3. Технічні, кількісні та якісні характеристики: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Мобільний ЦНАП – це офіс на основі вантажного а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втомобіля, спеціально обладнаний необхідною інфраструктурою та комунікаціями (системами обігріву, кондиціонування повітря, вентиляції повітря, електропостачання, навігації та відеоспостереження), вбудованими меблями та обладнанням. Кузов мобільного ЦНАП є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вібро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шумо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-тепло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зольованим.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Мобільний ЦНАП функціонує у двох режимах: транспортному – для пересування, і робочому – для надання послуг. 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Транспортний засіб може трансформуватися з транспортного (складеного) стану в робочий (розгорнутий) та навпаки. 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У транспортному стані мобільний ЦНАП зберігає можливості і вимоги до експлуатації базового шасі вантажного автомобіля, а габаритні розміри мобільного ЦНАП - відповідають габаритам базового вантажного автомобіля.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У робочому режимі мобільний ЦНАП виконує функції робочого приміщення (утепленого і захищеного від атмосферних опадів) для працівників/ фахівців, які надають адміністративні, публічні, інформаційні та інші послуги.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У робочий режим мобільний ЦНАП переходить шляхом розкладення додаткових елементів, які включені в комплект поставки (платформа для забезпечення доступу людей з обмеженими можливостями, сходинки тощо).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У робочому режимі мобільний ЦНАП має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два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вх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-вих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Вхід для відвідувачів передбачає просту і легку конструкцію сходинок. 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Вхід для осіб з інвалідністю розташований у задній частині кузова, обладнаний підйомником - платформою для інвалідних колясок. Конструкці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я підйомнику та платформи передбачають просту і легку установку до неї алюмінієвих поручнів, перил та мають елементи фіксації інвалідної коляски, конструкція підйомника забезпечує безпечний та легкий доступ до мобільного офісу осіб з обмеженою мобільністю.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Перехід в робочий режим виконується одним оператором (водієм) з мінімальною кількістю маніпуляцій тривалістю 10-15 хвилин. 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Усі елементи, необхідні для переходу в робочий режим, передбачені конструкцією к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узову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мобільного ЦНАП, тобто не вимагають окремих пристроїв та обладнання, за винятком елементів, передбачених технічним проектом (або комплектацією).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Для запобігання корозії металеві елементи каркасу (кузова і шасі) мають анти-корозійний захист.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2.4. Основні вимоги до мобільного ЦНАП: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Мобільний ЦНАП – транспортний засіб спеціального призначення, виготовлений на основі вантажного автомобіля, спеціально переобладнаного для надання адміністративних послуг.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Базовий (вантажний) автомобіль, я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кий використовується для виготовлення мобільного ЦНАП, відповідає вимогам чинного законодавства України, зокрема, Закону України «Про дорожній рух», постанові Кабінету Міністрів України від 07.09.1998 № 1388 «Про затвердження Порядку державної реєстрації (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Обладнання автомобіля не створює перешкоди вільній евакуації при можливій дорожньо-транспортній пригоді.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Експлуатація мобільного ЦНАП передбачається безпосередньо на штатному автомобільному шасі без розвантаження.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2.5. Вимоги до техніки безпеки, охорони праці та природи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Матеріали, що використовувались для виготовлення мобільного ЦНАП, відповідають ДСТУ 12.1.005-88.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У конструкції зовнішніх і внутрішніх елементів мобільного ЦНАП відсутні гострі кути, ріжучі краї, штирі, проводи, які виступають, тощо.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Усі меблі і предмети інтер'єру в транспортному режимі надійно фіксуються вбудованими фіксаторами або транспортними ременями, що відповідають стандартам.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Мобільний ЦНАП укомплектований двома вогнегасниками ВВК-2 і аптечкою.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2.6. Особливі вимоги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Конструкція мобільного ЦНАП забезпечує можливість обслуговування різних категорій відвідувачів, в тому числі літніх та осіб з обмеженими можливостями.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Мобільний ЦНАП обладнаний автоматизованим підйомним пристроєм (підйомником) для інвалідних та дитячих колясок. Ширина дверних прорізів і проходів до робочого місця (стола) персоналу забезпечує можливість вільного проїзду інвалідної коляски.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Додаткові сходинки та підйомник в зібраному стані є складовою частиною мобільного ЦНАП, а в транспортному режимі повністю узгоджуються із визначеними максимальними транспортними розмірами.</w:t>
      </w:r>
      <w:r/>
    </w:p>
    <w:p>
      <w:pPr>
        <w:ind w:firstLine="850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</w:r>
      <w:r/>
    </w:p>
    <w:p>
      <w:pPr>
        <w:ind w:firstLine="850"/>
        <w:jc w:val="center"/>
        <w:rPr>
          <w:rFonts w:ascii="Times New Roman" w:hAnsi="Times New Roman" w:cs="Times New Roman"/>
          <w:b/>
          <w:color w:val="343534"/>
          <w:sz w:val="28"/>
          <w:szCs w:val="28"/>
        </w:rPr>
      </w:pPr>
      <w:r>
        <w:rPr>
          <w:rFonts w:ascii="Times New Roman" w:hAnsi="Times New Roman" w:cs="Times New Roman"/>
          <w:b/>
          <w:color w:val="343534"/>
          <w:sz w:val="28"/>
          <w:szCs w:val="28"/>
        </w:rPr>
      </w:r>
      <w:r/>
    </w:p>
    <w:p>
      <w:pPr>
        <w:ind w:firstLine="850"/>
        <w:jc w:val="center"/>
        <w:rPr>
          <w:rFonts w:ascii="Times New Roman" w:hAnsi="Times New Roman" w:cs="Times New Roman"/>
          <w:b/>
          <w:color w:val="343534"/>
          <w:sz w:val="28"/>
          <w:szCs w:val="28"/>
        </w:rPr>
      </w:pP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. Основні вимоги до організації прийому суб’єктів звернень </w:t>
      </w: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із застосуванням сервісу</w:t>
      </w: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 «Мобільн</w:t>
      </w: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ий</w:t>
      </w: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 ЦНАП»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.1. Адміністративні послуги надаються через мобільний ЦНАП у порядку,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визначеному Законом України «Про адміністративні послуги» та іншими нормативно-правовими актами з урахуванням особливостей, визначених цими Вимогами. 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.2. Керівником ЦНАП визначається посадова особа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, відповідальна за діяльність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«М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обільного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ЦНАП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Відповідальна особа щотижнево збирає та узагальнює заявки від суб’єктів звернень на отримання відповідних послуг.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Заявки протягом тижня надаються безпосередньо до ЦНАП, його територіальних підрозділів, віддалених робочих місць адміністраторів (особисто або за визначеними номерами телефонів, електронними адресами, тощо) або до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старост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Кожної п’ятниці (останній робочий день тижня) до 9:00, виходячи з отриманих заявок, відповідальна особа формує та подає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пропозиц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ії щодо маршрутів руху мобільного ЦНАП, графіку його роботи та необхідності залучення представників відповідних СНАП або інших надавачів послуг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керівнику ЦНАП.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Керівник ЦНАП після відповідного узгодження з керівниками відповідних СНАП та надавачів інших публічних послуг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розробляє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графік роботи, маршрут руху мобільного ЦНАП та передає їх на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місько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му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Інформація щодо графіка роботи та маршруту пересування мобільного ЦНАП не пізніше 16:00 п’ятниці (останнього робочого дня тижня) доводиться до відома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старост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, розміщується на офіційному веб-сайті міської ради (ЦНАП), у місцевих засобах масової інформації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Транспортний засіб, на основі якого функціонує мобільний ЦНАП, зобов’язаний проходити відповідний щорічний технічний огляд.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За технічний стан транспортного засобу (справність механізмів, технічний огляд, огляд перед виїздом тощо) відповідає водій, за яким закріплено транспортний засіб.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За </w:t>
      </w:r>
      <w:bookmarkStart w:id="2" w:name="_Hlk167370421"/>
      <w:r>
        <w:rPr>
          <w:rFonts w:ascii="Times New Roman" w:hAnsi="Times New Roman" w:cs="Times New Roman"/>
          <w:color w:val="343534"/>
          <w:sz w:val="28"/>
          <w:szCs w:val="28"/>
        </w:rPr>
        <w:t xml:space="preserve">збереження програмних продуктів, встановлених в інформаційно-телекомунікаційних системах мобільного ЦНАП</w:t>
      </w:r>
      <w:bookmarkEnd w:id="2"/>
      <w:r>
        <w:rPr>
          <w:rFonts w:ascii="Times New Roman" w:hAnsi="Times New Roman" w:cs="Times New Roman"/>
          <w:color w:val="343534"/>
          <w:sz w:val="28"/>
          <w:szCs w:val="28"/>
        </w:rPr>
        <w:t xml:space="preserve">, відповідальність несе відділ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цифрових трансформацій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міської ради або відповідний працівник ЦНАП.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За збереження меблів, обладнання, які знаходяться всередині мобільного ЦНАП, відповідальність несуть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працівники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ЦНАП/працівники інших суб’єктів надання послуг, які забезпечують надання адміністративних та інших послуг через мобільний ЦНАП.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Забороняється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палити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, вживати алкогольні та наркотичні речовини у транспортному засобі, на основі якого функціонує мобільний ЦНАП, та поблизу нього.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Забороняється розміщувати у зазначеному транспортному засобі більшу кількість суб’єктів звернень, ніж це передбачено облаштованими робочими місцями/сидіннями в ньому. 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Використання транспортного засобу дозволяється лише для надання адміністративних та інших публічних послуг.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Забороняється використовувати мобільний ЦНАП для перевезення пасажирів (крім перевезення п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рацівників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ЦНАП до пунктів призначення).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Забороняється надавати будь-які послуги під час руху мобільного ЦНАП, а також у місцях, не передбачених графіком і маршрутом мобільного ЦНАП.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Адміністратори ЦНАП, представники суб’єктів надання адміністративних послуг, які залучаються до виїзних прийомів щодо надання адміністративних послуг, зобов’язані не рідше одного разу на рік проходити інструктаж з охорони праці та техніки безпеки. 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6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За збереження, експлуатацію, технічне обслуговування мобільного ЦНАП та його ремонт (у разі потреби) відповідальність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несе в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ідділ «Центр надання адміністративних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послуг»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Менської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 міської ради відповідно до чинного законодавства України.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Водій транспортного засобу зобов’язаний здійснювати перевезення до пункту призначення відповідно до затвердженого маршруту та графіку руху.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У разі захворювання і/або поганого самопочуття водія транспортного засобу, а також у разі виявлення несправності транспортного засобу, яка може загрожувати безпеці до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рожнього руху, водій зобов’язаний негайно інформувати керівника ЦНАП або особу, відповідальну за роботу мобільного ЦНАП, про неможливість виходу на маршрут. Останні невідкладно забезпечують інформування населення про зміни в обслуговуванні, зокрема, через 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старост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8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 На кінцевих зупинках адміністратор ЦНАП зобов’язаний перевіряти салон транспортного засобу на предмет залишених або забутих речей і в разі їх виявлення – вжити заходи щодо повернення їх власнику.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Адміністратори ЦНАП не несуть відповідальність за особисті речі, залишені в транспортному засобі суб’єктами звернень.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</w:r>
      <w:r/>
    </w:p>
    <w:p>
      <w:pPr>
        <w:ind w:firstLine="567"/>
        <w:jc w:val="center"/>
        <w:rPr>
          <w:rFonts w:ascii="Times New Roman" w:hAnsi="Times New Roman" w:cs="Times New Roman"/>
          <w:b/>
          <w:color w:val="343534"/>
          <w:sz w:val="28"/>
          <w:szCs w:val="28"/>
        </w:rPr>
      </w:pP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. Відповідальність за недотримання Вимог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.1. За недотримання цих Вимог посадові особи несуть дисциплінарну та адміністративну відповідальність у порядку та відповідно до вимог чинного законодавства України.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.2. За недотримання цих Вимог повноважними представниками підприємств, організацій, установ, які беруть участь у роботі мобільного ЦНАП, керівник ЦНАП вносить пропозиції їх керівним органам про заходи реагування.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</w:r>
      <w:r/>
    </w:p>
    <w:p>
      <w:pPr>
        <w:ind w:firstLine="567"/>
        <w:jc w:val="center"/>
        <w:rPr>
          <w:rFonts w:ascii="Times New Roman" w:hAnsi="Times New Roman" w:cs="Times New Roman"/>
          <w:b/>
          <w:color w:val="343534"/>
          <w:sz w:val="28"/>
          <w:szCs w:val="28"/>
        </w:rPr>
      </w:pPr>
      <w:r>
        <w:rPr>
          <w:rFonts w:ascii="Times New Roman" w:hAnsi="Times New Roman" w:cs="Times New Roman"/>
          <w:b/>
          <w:color w:val="343534"/>
          <w:sz w:val="28"/>
          <w:szCs w:val="28"/>
        </w:rPr>
        <w:t xml:space="preserve">5. Заключні положення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343534"/>
          <w:sz w:val="28"/>
          <w:szCs w:val="28"/>
        </w:rPr>
        <w:t xml:space="preserve">.1. Працівники мобільного ЦНАП: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- зобов’язані належно використовувати службове майно та інші матеріальні цінності;</w:t>
      </w:r>
      <w:r/>
    </w:p>
    <w:p>
      <w:pPr>
        <w:ind w:firstLine="567"/>
        <w:jc w:val="both"/>
        <w:rPr>
          <w:rFonts w:ascii="Times New Roman" w:hAnsi="Times New Roman" w:cs="Times New Roman"/>
          <w:color w:val="343534"/>
          <w:sz w:val="28"/>
          <w:szCs w:val="28"/>
        </w:rPr>
      </w:pPr>
      <w:r>
        <w:rPr>
          <w:rFonts w:ascii="Times New Roman" w:hAnsi="Times New Roman" w:cs="Times New Roman"/>
          <w:color w:val="343534"/>
          <w:sz w:val="28"/>
          <w:szCs w:val="28"/>
        </w:rPr>
        <w:t xml:space="preserve">- забезпечувати отримання зворотного зв’язку від відвідувачів щодо якості надання адміністративних послуг (зокрема, шляхом забезпечення вільного доступу до Книги відгуків та пропозицій, скриньок для відгуків).</w:t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відділу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«Центр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</w:t>
      </w:r>
      <w:r/>
    </w:p>
    <w:p>
      <w:pPr>
        <w:pStyle w:val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Валерій РАЧКОВ</w:t>
      </w:r>
      <w:r/>
    </w:p>
    <w:p>
      <w:pPr>
        <w:pStyle w:val="85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r>
      <w:r/>
    </w:p>
    <w:sectPr>
      <w:headerReference w:type="default" r:id="rId9"/>
      <w:footnotePr/>
      <w:endnotePr/>
      <w:type w:val="nextPage"/>
      <w:pgSz w:w="12240" w:h="15840" w:orient="portrait"/>
      <w:pgMar w:top="1134" w:right="567" w:bottom="993" w:left="1701" w:header="283" w:footer="34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rPr>
          <w:rFonts w:hint="eastAsia"/>
        </w:rPr>
      </w:pPr>
      <w:r>
        <w:separator/>
      </w:r>
      <w:r/>
    </w:p>
  </w:endnote>
  <w:endnote w:type="continuationSeparator" w:id="0">
    <w:p>
      <w:pPr>
        <w:rPr>
          <w:rFonts w:hint="eastAsia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Segoe UI">
    <w:panose1 w:val="020B0502040504020204"/>
  </w:font>
  <w:font w:name="Mangal">
    <w:panose1 w:val="02020603050405020304"/>
  </w:font>
  <w:font w:name="Liberation Serif">
    <w:panose1 w:val="02020603050405020304"/>
  </w:font>
  <w:font w:name="Arial">
    <w:panose1 w:val="020B0604020202020204"/>
  </w:font>
  <w:font w:name="SimSun">
    <w:panose1 w:val="02020603020101020101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rFonts w:hint="eastAsia"/>
        </w:rPr>
      </w:pPr>
      <w:r>
        <w:separator/>
      </w:r>
      <w:r/>
    </w:p>
  </w:footnote>
  <w:footnote w:type="continuationSeparator" w:id="0">
    <w:p>
      <w:pPr>
        <w:rPr>
          <w:rFonts w:hint="eastAsia"/>
        </w:rP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69553377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0"/>
      <w:jc w:val="right"/>
      <w:rPr>
        <w:i/>
        <w:iCs/>
      </w:rPr>
    </w:pPr>
    <w:r>
      <w:rPr>
        <w:rFonts w:ascii="Times New Roman" w:hAnsi="Times New Roman" w:cs="Times New Roman"/>
        <w:i/>
        <w:iCs/>
      </w:rPr>
      <w:t xml:space="preserve">П</w:t>
    </w:r>
    <w:r>
      <w:rPr>
        <w:i/>
        <w:iCs/>
      </w:rPr>
      <w:t xml:space="preserve">родовження додатка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3" w:hanging="465"/>
      </w:pPr>
      <w:rPr>
        <w:rFonts w:ascii="Times New Roman" w:hAnsi="Times New Roman" w:eastAsia="SimSun"/>
        <w:color w:val="00000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SimSun" w:asciiTheme="minorHAnsi" w:hAnsiTheme="minorHAnsi" w:cstheme="minorBid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38"/>
    <w:next w:val="838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>
    <w:name w:val="Heading 1 Char"/>
    <w:basedOn w:val="839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38"/>
    <w:next w:val="838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>
    <w:name w:val="Heading 2 Char"/>
    <w:basedOn w:val="839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38"/>
    <w:next w:val="838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>
    <w:name w:val="Heading 3 Char"/>
    <w:basedOn w:val="839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38"/>
    <w:next w:val="838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39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38"/>
    <w:next w:val="838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39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38"/>
    <w:next w:val="838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3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38"/>
    <w:next w:val="838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39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38"/>
    <w:next w:val="838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39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38"/>
    <w:next w:val="838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3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basedOn w:val="838"/>
    <w:qFormat/>
    <w:uiPriority w:val="34"/>
    <w:pPr>
      <w:contextualSpacing w:val="true"/>
      <w:ind w:left="720"/>
    </w:pPr>
  </w:style>
  <w:style w:type="paragraph" w:styleId="684">
    <w:name w:val="No Spacing"/>
    <w:qFormat/>
    <w:uiPriority w:val="1"/>
    <w:pPr>
      <w:spacing w:lineRule="auto" w:line="240" w:after="0" w:before="0"/>
    </w:pPr>
  </w:style>
  <w:style w:type="paragraph" w:styleId="685">
    <w:name w:val="Title"/>
    <w:basedOn w:val="838"/>
    <w:next w:val="838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>
    <w:name w:val="Title Char"/>
    <w:basedOn w:val="839"/>
    <w:link w:val="685"/>
    <w:uiPriority w:val="10"/>
    <w:rPr>
      <w:sz w:val="48"/>
      <w:szCs w:val="48"/>
    </w:rPr>
  </w:style>
  <w:style w:type="character" w:styleId="687">
    <w:name w:val="Subtitle Char"/>
    <w:basedOn w:val="839"/>
    <w:link w:val="854"/>
    <w:uiPriority w:val="11"/>
    <w:rPr>
      <w:sz w:val="24"/>
      <w:szCs w:val="24"/>
    </w:rPr>
  </w:style>
  <w:style w:type="paragraph" w:styleId="688">
    <w:name w:val="Quote"/>
    <w:basedOn w:val="838"/>
    <w:next w:val="838"/>
    <w:link w:val="689"/>
    <w:qFormat/>
    <w:uiPriority w:val="29"/>
    <w:rPr>
      <w:i/>
    </w:rPr>
    <w:pPr>
      <w:ind w:left="720" w:right="720"/>
    </w:p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8"/>
    <w:next w:val="838"/>
    <w:link w:val="6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39"/>
    <w:link w:val="860"/>
    <w:uiPriority w:val="99"/>
  </w:style>
  <w:style w:type="character" w:styleId="693">
    <w:name w:val="Footer Char"/>
    <w:basedOn w:val="839"/>
    <w:link w:val="862"/>
    <w:uiPriority w:val="99"/>
  </w:style>
  <w:style w:type="character" w:styleId="694">
    <w:name w:val="Caption Char"/>
    <w:basedOn w:val="850"/>
    <w:link w:val="862"/>
    <w:uiPriority w:val="99"/>
  </w:style>
  <w:style w:type="table" w:styleId="695">
    <w:name w:val="Table Grid Light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 &amp; 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Bordered &amp; 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Bordered &amp; 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Bordered &amp; 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Bordered &amp; 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Bordered &amp; 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Bordered &amp; 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4">
    <w:name w:val="Bordered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6">
    <w:name w:val="Bordered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7">
    <w:name w:val="Bordered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8">
    <w:name w:val="Bordered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9">
    <w:name w:val="Bordered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rPr>
      <w:rFonts w:ascii="Liberation Serif" w:hAnsi="Liberation Serif" w:cs="Arial"/>
      <w:sz w:val="24"/>
      <w:szCs w:val="24"/>
      <w:lang w:val="uk-UA" w:bidi="hi-IN" w:eastAsia="zh-CN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Основной текст Знак"/>
    <w:basedOn w:val="839"/>
    <w:qFormat/>
    <w:rPr>
      <w:rFonts w:ascii="Liberation Serif" w:hAnsi="Liberation Serif" w:cs="Arial" w:eastAsia="SimSun"/>
      <w:sz w:val="24"/>
      <w:szCs w:val="24"/>
      <w:lang w:val="uk-UA" w:bidi="hi-IN" w:eastAsia="zh-CN"/>
    </w:rPr>
  </w:style>
  <w:style w:type="character" w:styleId="843" w:customStyle="1">
    <w:name w:val="Подзаголовок Знак"/>
    <w:basedOn w:val="839"/>
    <w:qFormat/>
    <w:uiPriority w:val="11"/>
    <w:rPr>
      <w:rFonts w:cs="Mangal" w:eastAsiaTheme="minorEastAsia"/>
      <w:color w:val="5A5A5A" w:themeColor="text1" w:themeTint="A5"/>
      <w:spacing w:val="15"/>
      <w:sz w:val="20"/>
      <w:szCs w:val="20"/>
      <w:lang w:val="uk-UA" w:bidi="hi-IN" w:eastAsia="zh-CN"/>
    </w:rPr>
  </w:style>
  <w:style w:type="character" w:styleId="844" w:customStyle="1">
    <w:name w:val="Текст выноски Знак"/>
    <w:basedOn w:val="839"/>
    <w:qFormat/>
    <w:uiPriority w:val="99"/>
    <w:semiHidden/>
    <w:rPr>
      <w:rFonts w:ascii="Segoe UI" w:hAnsi="Segoe UI" w:cs="Mangal" w:eastAsia="SimSun"/>
      <w:sz w:val="18"/>
      <w:szCs w:val="16"/>
      <w:lang w:val="uk-UA" w:bidi="hi-IN" w:eastAsia="zh-CN"/>
    </w:rPr>
  </w:style>
  <w:style w:type="character" w:styleId="845" w:customStyle="1">
    <w:name w:val="ListLabel 1"/>
    <w:qFormat/>
    <w:rPr>
      <w:rFonts w:ascii="Times New Roman" w:hAnsi="Times New Roman" w:eastAsia="SimSun"/>
      <w:color w:val="000000"/>
      <w:sz w:val="26"/>
    </w:rPr>
  </w:style>
  <w:style w:type="character" w:styleId="846" w:customStyle="1">
    <w:name w:val="ListLabel 2"/>
    <w:qFormat/>
    <w:rPr>
      <w:rFonts w:ascii="Times New Roman" w:hAnsi="Times New Roman" w:eastAsia="SimSun"/>
      <w:color w:val="000000"/>
      <w:sz w:val="26"/>
    </w:rPr>
  </w:style>
  <w:style w:type="paragraph" w:styleId="847" w:customStyle="1">
    <w:name w:val="Заголовок"/>
    <w:basedOn w:val="838"/>
    <w:next w:val="848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48">
    <w:name w:val="Body Text"/>
    <w:basedOn w:val="838"/>
    <w:pPr>
      <w:spacing w:lineRule="auto" w:line="288" w:after="140"/>
    </w:pPr>
  </w:style>
  <w:style w:type="paragraph" w:styleId="849">
    <w:name w:val="List"/>
    <w:basedOn w:val="848"/>
  </w:style>
  <w:style w:type="paragraph" w:styleId="850">
    <w:name w:val="Caption"/>
    <w:basedOn w:val="838"/>
    <w:qFormat/>
    <w:rPr>
      <w:i/>
      <w:iCs/>
    </w:rPr>
    <w:pPr>
      <w:spacing w:after="120" w:before="120"/>
      <w:suppressLineNumbers/>
    </w:pPr>
  </w:style>
  <w:style w:type="paragraph" w:styleId="851" w:customStyle="1">
    <w:name w:val="Указатель"/>
    <w:basedOn w:val="838"/>
    <w:qFormat/>
    <w:pPr>
      <w:suppressLineNumbers/>
    </w:pPr>
  </w:style>
  <w:style w:type="paragraph" w:styleId="852" w:customStyle="1">
    <w:name w:val="Содержимое таблицы"/>
    <w:basedOn w:val="838"/>
    <w:qFormat/>
    <w:pPr>
      <w:suppressLineNumbers/>
    </w:pPr>
  </w:style>
  <w:style w:type="paragraph" w:styleId="853" w:customStyle="1">
    <w:name w:val="WW-Заголовок"/>
    <w:basedOn w:val="838"/>
    <w:next w:val="854"/>
    <w:qFormat/>
    <w:pPr>
      <w:jc w:val="center"/>
    </w:pPr>
  </w:style>
  <w:style w:type="paragraph" w:styleId="854">
    <w:name w:val="Subtitle"/>
    <w:basedOn w:val="838"/>
    <w:next w:val="838"/>
    <w:qFormat/>
    <w:uiPriority w:val="11"/>
    <w:rPr>
      <w:rFonts w:cs="Mangal" w:asciiTheme="minorHAnsi" w:hAnsiTheme="minorHAnsi" w:eastAsiaTheme="minorEastAsia"/>
      <w:color w:val="5A5A5A" w:themeColor="text1" w:themeTint="A5"/>
      <w:spacing w:val="15"/>
      <w:sz w:val="22"/>
      <w:szCs w:val="20"/>
    </w:rPr>
    <w:pPr>
      <w:spacing w:after="160"/>
    </w:pPr>
  </w:style>
  <w:style w:type="paragraph" w:styleId="855" w:customStyle="1">
    <w:name w:val="Вміст таблиці"/>
    <w:basedOn w:val="838"/>
    <w:qFormat/>
    <w:rPr>
      <w:rFonts w:cs="Mangal"/>
      <w:lang w:val="ru-RU"/>
    </w:rPr>
    <w:pPr>
      <w:suppressLineNumbers/>
    </w:pPr>
  </w:style>
  <w:style w:type="paragraph" w:styleId="856" w:customStyle="1">
    <w:name w:val="Без интервала1"/>
    <w:qFormat/>
    <w:rPr>
      <w:rFonts w:ascii="Calibri" w:hAnsi="Calibri" w:cs="Calibri" w:eastAsia="Calibri"/>
      <w:color w:val="00000A"/>
      <w:sz w:val="24"/>
      <w:lang w:val="ru-RU" w:eastAsia="zh-CN"/>
    </w:rPr>
  </w:style>
  <w:style w:type="paragraph" w:styleId="857">
    <w:name w:val="Balloon Text"/>
    <w:basedOn w:val="838"/>
    <w:qFormat/>
    <w:uiPriority w:val="99"/>
    <w:semiHidden/>
    <w:unhideWhenUsed/>
    <w:rPr>
      <w:rFonts w:ascii="Segoe UI" w:hAnsi="Segoe UI" w:cs="Mangal"/>
      <w:sz w:val="18"/>
      <w:szCs w:val="16"/>
    </w:rPr>
  </w:style>
  <w:style w:type="table" w:styleId="858">
    <w:name w:val="Table Grid"/>
    <w:basedOn w:val="840"/>
    <w:uiPriority w:val="59"/>
    <w:rPr>
      <w:rFonts w:ascii="Calibri" w:hAnsi="Calibri" w:cs="Calibri" w:eastAsia="Calibri"/>
      <w:sz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59" w:customStyle="1">
    <w:name w:val="docdata"/>
    <w:basedOn w:val="838"/>
    <w:rPr>
      <w:rFonts w:ascii="Times New Roman" w:hAnsi="Times New Roman" w:cs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860">
    <w:name w:val="Header"/>
    <w:basedOn w:val="838"/>
    <w:link w:val="861"/>
    <w:uiPriority w:val="99"/>
    <w:unhideWhenUsed/>
    <w:rPr>
      <w:rFonts w:cs="Mangal"/>
      <w:sz w:val="21"/>
      <w:szCs w:val="21"/>
    </w:rPr>
    <w:pPr>
      <w:tabs>
        <w:tab w:val="center" w:pos="4819" w:leader="none"/>
        <w:tab w:val="right" w:pos="9639" w:leader="none"/>
      </w:tabs>
    </w:pPr>
  </w:style>
  <w:style w:type="character" w:styleId="861" w:customStyle="1">
    <w:name w:val="Верхній колонтитул Знак"/>
    <w:basedOn w:val="839"/>
    <w:link w:val="860"/>
    <w:uiPriority w:val="99"/>
    <w:rPr>
      <w:rFonts w:ascii="Liberation Serif" w:hAnsi="Liberation Serif" w:cs="Mangal" w:eastAsia="SimSun"/>
      <w:sz w:val="24"/>
      <w:szCs w:val="21"/>
      <w:lang w:val="uk-UA" w:bidi="hi-IN" w:eastAsia="zh-CN"/>
    </w:rPr>
  </w:style>
  <w:style w:type="paragraph" w:styleId="862">
    <w:name w:val="Footer"/>
    <w:basedOn w:val="838"/>
    <w:link w:val="863"/>
    <w:uiPriority w:val="99"/>
    <w:unhideWhenUsed/>
    <w:rPr>
      <w:rFonts w:cs="Mangal"/>
      <w:sz w:val="21"/>
      <w:szCs w:val="21"/>
    </w:rPr>
    <w:pPr>
      <w:tabs>
        <w:tab w:val="center" w:pos="4819" w:leader="none"/>
        <w:tab w:val="right" w:pos="9639" w:leader="none"/>
      </w:tabs>
    </w:pPr>
  </w:style>
  <w:style w:type="character" w:styleId="863" w:customStyle="1">
    <w:name w:val="Нижній колонтитул Знак"/>
    <w:basedOn w:val="839"/>
    <w:link w:val="862"/>
    <w:uiPriority w:val="99"/>
    <w:rPr>
      <w:rFonts w:ascii="Liberation Serif" w:hAnsi="Liberation Serif" w:cs="Mangal" w:eastAsia="SimSun"/>
      <w:sz w:val="24"/>
      <w:szCs w:val="21"/>
      <w:lang w:val="uk-UA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D2A41B8-34BB-4395-A2AD-14E494F3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Ройко Марина</dc:creator>
  <cp:keywords/>
  <dc:description/>
  <dc:language>en-US</dc:language>
  <cp:lastModifiedBy>Остапенко Ганна Борисівна</cp:lastModifiedBy>
  <cp:revision>6</cp:revision>
  <dcterms:created xsi:type="dcterms:W3CDTF">2024-05-13T07:21:00Z</dcterms:created>
  <dcterms:modified xsi:type="dcterms:W3CDTF">2024-05-30T04:53:23Z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